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6DA82" w14:textId="77777777" w:rsidR="00CA68DB" w:rsidRPr="004D2F7B" w:rsidRDefault="002A606E" w:rsidP="002A606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36"/>
        </w:rPr>
      </w:pPr>
      <w:r w:rsidRPr="004D2F7B">
        <w:rPr>
          <w:rFonts w:ascii="Arial" w:hAnsi="Arial" w:cs="Arial"/>
          <w:b/>
          <w:sz w:val="36"/>
          <w:szCs w:val="36"/>
        </w:rPr>
        <w:t xml:space="preserve">El ple del Prat aprova una moció de suport a la reforma </w:t>
      </w:r>
      <w:r w:rsidR="005C7ACC">
        <w:rPr>
          <w:rFonts w:ascii="Arial" w:hAnsi="Arial" w:cs="Arial"/>
          <w:b/>
          <w:sz w:val="36"/>
          <w:szCs w:val="36"/>
        </w:rPr>
        <w:t xml:space="preserve">per </w:t>
      </w:r>
      <w:bookmarkStart w:id="0" w:name="_GoBack"/>
      <w:bookmarkEnd w:id="0"/>
      <w:r w:rsidR="005C7ACC">
        <w:rPr>
          <w:rFonts w:ascii="Arial" w:hAnsi="Arial" w:cs="Arial"/>
          <w:b/>
          <w:sz w:val="36"/>
          <w:szCs w:val="36"/>
        </w:rPr>
        <w:t xml:space="preserve">recuperar drets </w:t>
      </w:r>
      <w:r w:rsidRPr="004D2F7B">
        <w:rPr>
          <w:rFonts w:ascii="Arial" w:hAnsi="Arial" w:cs="Arial"/>
          <w:b/>
          <w:sz w:val="36"/>
          <w:szCs w:val="36"/>
        </w:rPr>
        <w:t>laboral</w:t>
      </w:r>
      <w:r w:rsidR="005C7ACC">
        <w:rPr>
          <w:rFonts w:ascii="Arial" w:hAnsi="Arial" w:cs="Arial"/>
          <w:b/>
          <w:sz w:val="36"/>
          <w:szCs w:val="36"/>
        </w:rPr>
        <w:t>s</w:t>
      </w:r>
      <w:r w:rsidRPr="004D2F7B">
        <w:rPr>
          <w:rFonts w:ascii="Arial" w:hAnsi="Arial" w:cs="Arial"/>
          <w:b/>
          <w:sz w:val="36"/>
          <w:szCs w:val="36"/>
        </w:rPr>
        <w:t xml:space="preserve"> que es votarà demà al Congrés</w:t>
      </w:r>
    </w:p>
    <w:p w14:paraId="13C9ACD5" w14:textId="77777777" w:rsidR="00EC07FE" w:rsidRPr="004D2F7B" w:rsidRDefault="00EC07FE" w:rsidP="00CA68D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36"/>
          <w:szCs w:val="36"/>
        </w:rPr>
      </w:pPr>
    </w:p>
    <w:p w14:paraId="3AF827BE" w14:textId="77777777" w:rsidR="002A606E" w:rsidRPr="004D2F7B" w:rsidRDefault="002A606E" w:rsidP="00CA68D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4D2F7B">
        <w:rPr>
          <w:rFonts w:ascii="Arial" w:hAnsi="Arial" w:cs="Arial"/>
          <w:b/>
          <w:color w:val="000000" w:themeColor="text1"/>
          <w:sz w:val="28"/>
          <w:szCs w:val="28"/>
        </w:rPr>
        <w:t>La moció considera que aquesta reforma “canvia la lògica evolutiva de la legislació laboral de més d’una dècada”, contribuint a generar ocupació de qualitat front a la precarietat.</w:t>
      </w:r>
    </w:p>
    <w:p w14:paraId="5D197EFC" w14:textId="77777777" w:rsidR="002A606E" w:rsidRPr="004D2F7B" w:rsidRDefault="002A606E" w:rsidP="00CA68D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36"/>
          <w:szCs w:val="36"/>
        </w:rPr>
      </w:pPr>
    </w:p>
    <w:p w14:paraId="36297705" w14:textId="77777777" w:rsidR="00063F42" w:rsidRPr="004D2F7B" w:rsidRDefault="00063F42" w:rsidP="00CA68D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4D2F7B">
        <w:rPr>
          <w:rFonts w:ascii="Arial" w:hAnsi="Arial" w:cs="Arial"/>
          <w:b/>
          <w:color w:val="000000" w:themeColor="text1"/>
          <w:sz w:val="28"/>
          <w:szCs w:val="28"/>
        </w:rPr>
        <w:t>El ple també ha iniciat el procés per delimitar el Prat com a àrea de tanteig i retracte, per tal que l’administra</w:t>
      </w:r>
      <w:r w:rsidR="004D2F7B" w:rsidRPr="004D2F7B">
        <w:rPr>
          <w:rFonts w:ascii="Arial" w:hAnsi="Arial" w:cs="Arial"/>
          <w:b/>
          <w:color w:val="000000" w:themeColor="text1"/>
          <w:sz w:val="28"/>
          <w:szCs w:val="28"/>
        </w:rPr>
        <w:t>ció tingui preferència per compr</w:t>
      </w:r>
      <w:r w:rsidRPr="004D2F7B">
        <w:rPr>
          <w:rFonts w:ascii="Arial" w:hAnsi="Arial" w:cs="Arial"/>
          <w:b/>
          <w:color w:val="000000" w:themeColor="text1"/>
          <w:sz w:val="28"/>
          <w:szCs w:val="28"/>
        </w:rPr>
        <w:t xml:space="preserve">ar </w:t>
      </w:r>
      <w:r w:rsidR="004D2F7B" w:rsidRPr="004D2F7B">
        <w:rPr>
          <w:rFonts w:ascii="Arial" w:hAnsi="Arial" w:cs="Arial"/>
          <w:b/>
          <w:color w:val="000000" w:themeColor="text1"/>
          <w:sz w:val="28"/>
          <w:szCs w:val="28"/>
        </w:rPr>
        <w:t xml:space="preserve">immobles </w:t>
      </w:r>
      <w:r w:rsidRPr="004D2F7B">
        <w:rPr>
          <w:rFonts w:ascii="Arial" w:hAnsi="Arial" w:cs="Arial"/>
          <w:b/>
          <w:color w:val="000000" w:themeColor="text1"/>
          <w:sz w:val="28"/>
          <w:szCs w:val="28"/>
        </w:rPr>
        <w:t>o solars en venda, per tal d’ampliar el parc d’habitatge públic i assequible.</w:t>
      </w:r>
    </w:p>
    <w:p w14:paraId="6FC7BCC0" w14:textId="77777777" w:rsidR="00063F42" w:rsidRPr="004D2F7B" w:rsidRDefault="00063F42" w:rsidP="00CA68D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36"/>
          <w:szCs w:val="36"/>
        </w:rPr>
      </w:pPr>
    </w:p>
    <w:p w14:paraId="117EE4FD" w14:textId="2DA2AD8C" w:rsidR="0034079C" w:rsidRDefault="002A606E" w:rsidP="008447BF">
      <w:pPr>
        <w:autoSpaceDE w:val="0"/>
        <w:autoSpaceDN w:val="0"/>
        <w:adjustRightInd w:val="0"/>
        <w:jc w:val="both"/>
        <w:rPr>
          <w:rFonts w:ascii="Arial" w:hAnsi="Arial" w:cs="Arial"/>
          <w:noProof/>
          <w:color w:val="333333"/>
        </w:rPr>
      </w:pPr>
      <w:r w:rsidRPr="004D2F7B">
        <w:rPr>
          <w:rFonts w:ascii="Arial" w:hAnsi="Arial" w:cs="Arial"/>
          <w:color w:val="000000" w:themeColor="text1"/>
        </w:rPr>
        <w:t>El ple municipal del Prat ha aprovat avui, dimecres 2 de febrer, una moció de suport a la reforma laboral, un dia abans que el Congrés voti si aprova finalment aquesta normativa</w:t>
      </w:r>
      <w:r w:rsidR="005C7ACC">
        <w:rPr>
          <w:rFonts w:ascii="Arial" w:hAnsi="Arial" w:cs="Arial"/>
          <w:color w:val="000000" w:themeColor="text1"/>
        </w:rPr>
        <w:t>, que té per objectiu recuperar drets que els i les treballadores havien perdut</w:t>
      </w:r>
      <w:r w:rsidRPr="004D2F7B">
        <w:rPr>
          <w:rFonts w:ascii="Arial" w:hAnsi="Arial" w:cs="Arial"/>
          <w:color w:val="000000" w:themeColor="text1"/>
        </w:rPr>
        <w:t xml:space="preserve">. </w:t>
      </w:r>
      <w:r w:rsidRPr="00E34798">
        <w:rPr>
          <w:rFonts w:ascii="Arial" w:hAnsi="Arial" w:cs="Arial"/>
          <w:color w:val="000000" w:themeColor="text1"/>
        </w:rPr>
        <w:t>La moció</w:t>
      </w:r>
      <w:r w:rsidR="0034079C">
        <w:rPr>
          <w:rFonts w:ascii="Arial" w:hAnsi="Arial" w:cs="Arial"/>
          <w:color w:val="000000" w:themeColor="text1"/>
        </w:rPr>
        <w:t xml:space="preserve"> </w:t>
      </w:r>
      <w:r w:rsidR="002116C3" w:rsidRPr="00E34798">
        <w:rPr>
          <w:rFonts w:ascii="Arial" w:hAnsi="Arial" w:cs="Arial"/>
          <w:color w:val="000000" w:themeColor="text1"/>
        </w:rPr>
        <w:t>insta e</w:t>
      </w:r>
      <w:r w:rsidR="008447BF" w:rsidRPr="00E34798">
        <w:rPr>
          <w:rFonts w:ascii="Arial" w:hAnsi="Arial" w:cs="Arial"/>
          <w:color w:val="000000" w:themeColor="text1"/>
        </w:rPr>
        <w:t xml:space="preserve">ls grups polítics </w:t>
      </w:r>
      <w:r w:rsidR="007729F3" w:rsidRPr="00E34798">
        <w:rPr>
          <w:rFonts w:ascii="Arial" w:hAnsi="Arial" w:cs="Arial"/>
          <w:color w:val="000000" w:themeColor="text1"/>
        </w:rPr>
        <w:t>representats al Congrés a</w:t>
      </w:r>
      <w:r w:rsidR="00063F42" w:rsidRPr="00E34798">
        <w:rPr>
          <w:rFonts w:ascii="Arial" w:hAnsi="Arial" w:cs="Arial"/>
          <w:color w:val="000000" w:themeColor="text1"/>
        </w:rPr>
        <w:t xml:space="preserve"> donar</w:t>
      </w:r>
      <w:r w:rsidR="007729F3" w:rsidRPr="00E34798">
        <w:rPr>
          <w:rFonts w:ascii="Arial" w:hAnsi="Arial" w:cs="Arial"/>
          <w:color w:val="000000" w:themeColor="text1"/>
        </w:rPr>
        <w:t>-hi</w:t>
      </w:r>
      <w:r w:rsidR="00063F42" w:rsidRPr="00E34798">
        <w:rPr>
          <w:rFonts w:ascii="Arial" w:hAnsi="Arial" w:cs="Arial"/>
          <w:color w:val="000000" w:themeColor="text1"/>
        </w:rPr>
        <w:t xml:space="preserve"> suport demà</w:t>
      </w:r>
      <w:r w:rsidR="007729F3" w:rsidRPr="00E34798">
        <w:rPr>
          <w:rFonts w:ascii="Arial" w:hAnsi="Arial" w:cs="Arial"/>
          <w:color w:val="000000" w:themeColor="text1"/>
        </w:rPr>
        <w:t>.</w:t>
      </w:r>
      <w:r w:rsidR="0034079C">
        <w:rPr>
          <w:rFonts w:ascii="Arial" w:hAnsi="Arial" w:cs="Arial"/>
          <w:color w:val="000000" w:themeColor="text1"/>
        </w:rPr>
        <w:t xml:space="preserve">  </w:t>
      </w:r>
      <w:r w:rsidRPr="00E34798">
        <w:rPr>
          <w:rFonts w:ascii="Arial" w:hAnsi="Arial" w:cs="Arial"/>
          <w:color w:val="000000" w:themeColor="text1"/>
        </w:rPr>
        <w:t>Aquesta és la primera reforma de la llei laboral des de</w:t>
      </w:r>
      <w:r w:rsidRPr="004D2F7B">
        <w:rPr>
          <w:rFonts w:ascii="Arial" w:hAnsi="Arial" w:cs="Arial"/>
          <w:noProof/>
          <w:color w:val="333333"/>
        </w:rPr>
        <w:t xml:space="preserve"> </w:t>
      </w:r>
      <w:r w:rsidR="008447BF" w:rsidRPr="004D2F7B">
        <w:rPr>
          <w:rFonts w:ascii="Arial" w:hAnsi="Arial" w:cs="Arial"/>
          <w:noProof/>
          <w:color w:val="333333"/>
        </w:rPr>
        <w:t xml:space="preserve">l’aprovada </w:t>
      </w:r>
      <w:r w:rsidRPr="004D2F7B">
        <w:rPr>
          <w:rFonts w:ascii="Arial" w:hAnsi="Arial" w:cs="Arial"/>
          <w:noProof/>
          <w:color w:val="333333"/>
        </w:rPr>
        <w:t xml:space="preserve">l’any 2012, sota el govern del PP.  </w:t>
      </w:r>
    </w:p>
    <w:p w14:paraId="54E8901A" w14:textId="77777777" w:rsidR="0034079C" w:rsidRPr="0034079C" w:rsidRDefault="0034079C" w:rsidP="008447B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2D9A9212" w14:textId="01C1CF76" w:rsidR="008447BF" w:rsidRPr="0034079C" w:rsidRDefault="0034079C" w:rsidP="008447B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Al ple del Prat, l</w:t>
      </w:r>
      <w:r>
        <w:rPr>
          <w:rFonts w:ascii="Arial" w:hAnsi="Arial" w:cs="Arial"/>
          <w:color w:val="000000" w:themeColor="text1"/>
        </w:rPr>
        <w:t>a moció s’ha aprovat</w:t>
      </w:r>
      <w:r w:rsidRPr="00E34798">
        <w:rPr>
          <w:rFonts w:ascii="Arial" w:hAnsi="Arial" w:cs="Arial"/>
          <w:color w:val="000000" w:themeColor="text1"/>
        </w:rPr>
        <w:t xml:space="preserve"> amb els vot</w:t>
      </w:r>
      <w:r>
        <w:rPr>
          <w:rFonts w:ascii="Arial" w:hAnsi="Arial" w:cs="Arial"/>
          <w:color w:val="000000" w:themeColor="text1"/>
        </w:rPr>
        <w:t>s</w:t>
      </w:r>
      <w:r w:rsidRPr="00E34798">
        <w:rPr>
          <w:rFonts w:ascii="Arial" w:hAnsi="Arial" w:cs="Arial"/>
          <w:color w:val="000000" w:themeColor="text1"/>
        </w:rPr>
        <w:t xml:space="preserve"> favorable</w:t>
      </w:r>
      <w:r>
        <w:rPr>
          <w:rFonts w:ascii="Arial" w:hAnsi="Arial" w:cs="Arial"/>
          <w:color w:val="000000" w:themeColor="text1"/>
        </w:rPr>
        <w:t>s</w:t>
      </w:r>
      <w:r w:rsidRPr="00E34798">
        <w:rPr>
          <w:rFonts w:ascii="Arial" w:hAnsi="Arial" w:cs="Arial"/>
          <w:color w:val="000000" w:themeColor="text1"/>
        </w:rPr>
        <w:t xml:space="preserve"> dels grups El Prat En Comú, PSC i </w:t>
      </w:r>
      <w:proofErr w:type="spellStart"/>
      <w:r w:rsidRPr="00E34798">
        <w:rPr>
          <w:rFonts w:ascii="Arial" w:hAnsi="Arial" w:cs="Arial"/>
          <w:color w:val="000000" w:themeColor="text1"/>
        </w:rPr>
        <w:t>Podemos</w:t>
      </w:r>
      <w:proofErr w:type="spellEnd"/>
      <w:r w:rsidRPr="00E34798">
        <w:rPr>
          <w:rFonts w:ascii="Arial" w:hAnsi="Arial" w:cs="Arial"/>
          <w:color w:val="000000" w:themeColor="text1"/>
        </w:rPr>
        <w:t xml:space="preserve">, l’abstenció de </w:t>
      </w:r>
      <w:proofErr w:type="spellStart"/>
      <w:r w:rsidRPr="00E34798">
        <w:rPr>
          <w:rFonts w:ascii="Arial" w:hAnsi="Arial" w:cs="Arial"/>
          <w:color w:val="000000" w:themeColor="text1"/>
        </w:rPr>
        <w:t>C’s</w:t>
      </w:r>
      <w:proofErr w:type="spellEnd"/>
      <w:r w:rsidRPr="00E34798">
        <w:rPr>
          <w:rFonts w:ascii="Arial" w:hAnsi="Arial" w:cs="Arial"/>
          <w:color w:val="000000" w:themeColor="text1"/>
        </w:rPr>
        <w:t xml:space="preserve"> i el vot contrari d’ERC</w:t>
      </w:r>
      <w:r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</w:t>
      </w:r>
      <w:r w:rsidR="002A606E" w:rsidRPr="004D2F7B">
        <w:rPr>
          <w:rFonts w:ascii="Arial" w:hAnsi="Arial" w:cs="Arial"/>
          <w:noProof/>
          <w:color w:val="333333"/>
        </w:rPr>
        <w:t xml:space="preserve">Segons el text de la moció, la reforma laboral que es porta a votació demà al Congrés “canvia la lògica evolutiva de la legislació laboral de més d’una dècada”, contribuint a generar ocupació de </w:t>
      </w:r>
      <w:r w:rsidR="008447BF" w:rsidRPr="004D2F7B">
        <w:rPr>
          <w:rFonts w:ascii="Arial" w:hAnsi="Arial" w:cs="Arial"/>
          <w:noProof/>
          <w:color w:val="333333"/>
        </w:rPr>
        <w:t>qualitat front a la “devaluació” dels drets dels treballadors i treballadores que ha suposat la normativa aprovada el 2012. La reforma que es votarà demà s’ha impulsat en el marc del diàleg social i és fruit de l’acord assolit pel govern espanyol amb els agents socials i la patronal.</w:t>
      </w:r>
    </w:p>
    <w:p w14:paraId="1DE28F0A" w14:textId="77777777" w:rsidR="00F214DF" w:rsidRPr="004D2F7B" w:rsidRDefault="00F214DF" w:rsidP="00CA68DB">
      <w:pPr>
        <w:autoSpaceDE w:val="0"/>
        <w:autoSpaceDN w:val="0"/>
        <w:adjustRightInd w:val="0"/>
        <w:jc w:val="both"/>
        <w:rPr>
          <w:rFonts w:ascii="Arial" w:hAnsi="Arial" w:cs="Arial"/>
          <w:noProof/>
          <w:color w:val="333333"/>
        </w:rPr>
      </w:pPr>
    </w:p>
    <w:p w14:paraId="17962596" w14:textId="77777777" w:rsidR="00240E6C" w:rsidRPr="004D2F7B" w:rsidRDefault="008447BF" w:rsidP="00CA68DB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color w:val="333333"/>
        </w:rPr>
      </w:pPr>
      <w:r w:rsidRPr="004D2F7B">
        <w:rPr>
          <w:rFonts w:ascii="Arial" w:hAnsi="Arial" w:cs="Arial"/>
          <w:noProof/>
          <w:color w:val="333333"/>
        </w:rPr>
        <w:t>En</w:t>
      </w:r>
      <w:r w:rsidR="00240E6C" w:rsidRPr="004D2F7B">
        <w:rPr>
          <w:rFonts w:ascii="Arial" w:hAnsi="Arial" w:cs="Arial"/>
          <w:noProof/>
          <w:color w:val="333333"/>
        </w:rPr>
        <w:t>tre els principals canvis de la reforma laboral, figura la recuperació de la ultraacti</w:t>
      </w:r>
      <w:r w:rsidR="00063F42" w:rsidRPr="004D2F7B">
        <w:rPr>
          <w:rFonts w:ascii="Arial" w:hAnsi="Arial" w:cs="Arial"/>
          <w:noProof/>
          <w:color w:val="333333"/>
        </w:rPr>
        <w:t>vi</w:t>
      </w:r>
      <w:r w:rsidR="00240E6C" w:rsidRPr="004D2F7B">
        <w:rPr>
          <w:rFonts w:ascii="Arial" w:hAnsi="Arial" w:cs="Arial"/>
          <w:noProof/>
          <w:color w:val="333333"/>
        </w:rPr>
        <w:t>tat dels convenis col·lecius, per a la prórroga automàtica a la seva finalització fins que siguin substituits per d’altres de nous;  o</w:t>
      </w:r>
      <w:r w:rsidRPr="004D2F7B">
        <w:rPr>
          <w:rFonts w:ascii="Arial" w:hAnsi="Arial" w:cs="Arial"/>
          <w:noProof/>
          <w:color w:val="333333"/>
        </w:rPr>
        <w:t xml:space="preserve"> </w:t>
      </w:r>
      <w:r w:rsidR="00240E6C" w:rsidRPr="004D2F7B">
        <w:rPr>
          <w:rFonts w:ascii="Arial" w:hAnsi="Arial" w:cs="Arial"/>
          <w:noProof/>
          <w:color w:val="333333"/>
        </w:rPr>
        <w:t>la prevalença del conveni sectorial, de manera que el de les empreses de cada àmbit només pugui millorar-lo</w:t>
      </w:r>
      <w:r w:rsidR="00063F42" w:rsidRPr="004D2F7B">
        <w:rPr>
          <w:rFonts w:ascii="Arial" w:hAnsi="Arial" w:cs="Arial"/>
          <w:noProof/>
          <w:color w:val="333333"/>
        </w:rPr>
        <w:t>,</w:t>
      </w:r>
      <w:r w:rsidR="00240E6C" w:rsidRPr="004D2F7B">
        <w:rPr>
          <w:rFonts w:ascii="Arial" w:hAnsi="Arial" w:cs="Arial"/>
          <w:noProof/>
          <w:color w:val="333333"/>
        </w:rPr>
        <w:t xml:space="preserve"> però no rebaixar-lo. La reforma entén la relac</w:t>
      </w:r>
      <w:r w:rsidR="00063F42" w:rsidRPr="004D2F7B">
        <w:rPr>
          <w:rFonts w:ascii="Arial" w:hAnsi="Arial" w:cs="Arial"/>
          <w:noProof/>
          <w:color w:val="333333"/>
        </w:rPr>
        <w:t>i</w:t>
      </w:r>
      <w:r w:rsidR="00240E6C" w:rsidRPr="004D2F7B">
        <w:rPr>
          <w:rFonts w:ascii="Arial" w:hAnsi="Arial" w:cs="Arial"/>
          <w:noProof/>
          <w:color w:val="333333"/>
        </w:rPr>
        <w:t>ó laboral com a indefinida i, en aquest sentit, implica d’altres modificacions, com ara la reducció del període d’encadenament de contractes. També conté mesures per combatre els contractes en frau de lleu i convertir-los en indefinits</w:t>
      </w:r>
      <w:r w:rsidR="005C10AF" w:rsidRPr="004D2F7B">
        <w:rPr>
          <w:rFonts w:ascii="Arial" w:hAnsi="Arial" w:cs="Arial"/>
          <w:noProof/>
          <w:color w:val="333333"/>
        </w:rPr>
        <w:t>, s’</w:t>
      </w:r>
      <w:r w:rsidR="00240E6C" w:rsidRPr="004D2F7B">
        <w:rPr>
          <w:rFonts w:ascii="Arial" w:hAnsi="Arial" w:cs="Arial"/>
          <w:noProof/>
          <w:color w:val="333333"/>
        </w:rPr>
        <w:t>acaba amb la figura del</w:t>
      </w:r>
      <w:r w:rsidR="005C10AF" w:rsidRPr="004D2F7B">
        <w:rPr>
          <w:rFonts w:ascii="Arial" w:hAnsi="Arial" w:cs="Arial"/>
          <w:noProof/>
          <w:color w:val="333333"/>
        </w:rPr>
        <w:t>s</w:t>
      </w:r>
      <w:r w:rsidR="00240E6C" w:rsidRPr="004D2F7B">
        <w:rPr>
          <w:rFonts w:ascii="Arial" w:hAnsi="Arial" w:cs="Arial"/>
          <w:noProof/>
          <w:color w:val="333333"/>
        </w:rPr>
        <w:t xml:space="preserve"> contracte</w:t>
      </w:r>
      <w:r w:rsidR="005C10AF" w:rsidRPr="004D2F7B">
        <w:rPr>
          <w:rFonts w:ascii="Arial" w:hAnsi="Arial" w:cs="Arial"/>
          <w:noProof/>
          <w:color w:val="333333"/>
        </w:rPr>
        <w:t>s</w:t>
      </w:r>
      <w:r w:rsidR="00240E6C" w:rsidRPr="004D2F7B">
        <w:rPr>
          <w:rFonts w:ascii="Arial" w:hAnsi="Arial" w:cs="Arial"/>
          <w:noProof/>
          <w:color w:val="333333"/>
        </w:rPr>
        <w:t xml:space="preserve"> d’obra i servei</w:t>
      </w:r>
      <w:r w:rsidR="005C10AF" w:rsidRPr="004D2F7B">
        <w:rPr>
          <w:rFonts w:ascii="Arial" w:hAnsi="Arial" w:cs="Arial"/>
          <w:noProof/>
          <w:color w:val="333333"/>
        </w:rPr>
        <w:t xml:space="preserve"> i es desincentiven els de curta durada</w:t>
      </w:r>
      <w:r w:rsidR="00240E6C" w:rsidRPr="004D2F7B">
        <w:rPr>
          <w:rFonts w:ascii="Arial" w:hAnsi="Arial" w:cs="Arial"/>
          <w:noProof/>
          <w:color w:val="333333"/>
        </w:rPr>
        <w:t xml:space="preserve">. Així mateix, s’apliquen millores dels contractes de formació, per garantir que </w:t>
      </w:r>
      <w:r w:rsidR="005C10AF" w:rsidRPr="004D2F7B">
        <w:rPr>
          <w:rFonts w:ascii="Arial" w:hAnsi="Arial" w:cs="Arial"/>
          <w:noProof/>
          <w:color w:val="333333"/>
        </w:rPr>
        <w:t xml:space="preserve">aquelles persones que facin pràctiques a les empreses vegin garantits els seus drets laborals. A més, </w:t>
      </w:r>
      <w:r w:rsidR="00063F42" w:rsidRPr="004D2F7B">
        <w:rPr>
          <w:rFonts w:ascii="Arial" w:hAnsi="Arial" w:cs="Arial"/>
          <w:noProof/>
          <w:color w:val="333333"/>
        </w:rPr>
        <w:t xml:space="preserve">l’actual ERTO </w:t>
      </w:r>
      <w:r w:rsidR="007729F3">
        <w:rPr>
          <w:rFonts w:ascii="Arial" w:hAnsi="Arial" w:cs="Arial"/>
          <w:noProof/>
          <w:color w:val="333333"/>
        </w:rPr>
        <w:t>es transforma en RED</w:t>
      </w:r>
      <w:r w:rsidR="005C10AF" w:rsidRPr="004D2F7B">
        <w:rPr>
          <w:rFonts w:ascii="Arial" w:hAnsi="Arial" w:cs="Arial"/>
          <w:noProof/>
          <w:color w:val="333333"/>
        </w:rPr>
        <w:t xml:space="preserve">, </w:t>
      </w:r>
      <w:r w:rsidR="007729F3">
        <w:rPr>
          <w:rFonts w:ascii="Arial" w:hAnsi="Arial" w:cs="Arial"/>
          <w:noProof/>
          <w:color w:val="333333"/>
        </w:rPr>
        <w:t xml:space="preserve">figura </w:t>
      </w:r>
      <w:r w:rsidR="00063F42" w:rsidRPr="004D2F7B">
        <w:rPr>
          <w:rFonts w:ascii="Arial" w:hAnsi="Arial" w:cs="Arial"/>
          <w:noProof/>
          <w:color w:val="333333"/>
        </w:rPr>
        <w:t xml:space="preserve">amb què el </w:t>
      </w:r>
      <w:r w:rsidR="005C10AF" w:rsidRPr="004D2F7B">
        <w:rPr>
          <w:rFonts w:ascii="Arial" w:hAnsi="Arial" w:cs="Arial"/>
          <w:noProof/>
          <w:color w:val="333333"/>
        </w:rPr>
        <w:t>t</w:t>
      </w:r>
      <w:r w:rsidR="00063F42" w:rsidRPr="004D2F7B">
        <w:rPr>
          <w:rFonts w:ascii="Arial" w:hAnsi="Arial" w:cs="Arial"/>
          <w:noProof/>
          <w:color w:val="333333"/>
        </w:rPr>
        <w:t>reballador o treballadora podria</w:t>
      </w:r>
      <w:r w:rsidR="005C10AF" w:rsidRPr="004D2F7B">
        <w:rPr>
          <w:rFonts w:ascii="Arial" w:hAnsi="Arial" w:cs="Arial"/>
          <w:noProof/>
          <w:color w:val="333333"/>
        </w:rPr>
        <w:t xml:space="preserve"> mantenir la seva activitat a l’empresa, tot adaptant temporalment el seu tipus de jornada</w:t>
      </w:r>
      <w:r w:rsidR="00063F42" w:rsidRPr="004D2F7B">
        <w:rPr>
          <w:rFonts w:ascii="Arial" w:hAnsi="Arial" w:cs="Arial"/>
          <w:noProof/>
          <w:color w:val="333333"/>
        </w:rPr>
        <w:t xml:space="preserve"> i cobrar una prestació social que </w:t>
      </w:r>
      <w:r w:rsidR="00063F42" w:rsidRPr="004D2F7B">
        <w:rPr>
          <w:rFonts w:ascii="Arial" w:hAnsi="Arial" w:cs="Arial"/>
          <w:noProof/>
          <w:color w:val="333333"/>
        </w:rPr>
        <w:lastRenderedPageBreak/>
        <w:t xml:space="preserve">evitaria que consumís la prestació d’atur. També es restringirien els acomiadament posteriors. </w:t>
      </w:r>
    </w:p>
    <w:p w14:paraId="762CB2BF" w14:textId="77777777" w:rsidR="00E55089" w:rsidRPr="004D2F7B" w:rsidRDefault="00E55089" w:rsidP="00CA68DB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color w:val="333333"/>
        </w:rPr>
      </w:pPr>
    </w:p>
    <w:p w14:paraId="2BD23FA0" w14:textId="77777777" w:rsidR="00E55089" w:rsidRPr="004D2F7B" w:rsidRDefault="00063F42" w:rsidP="00CA68DB">
      <w:pPr>
        <w:autoSpaceDE w:val="0"/>
        <w:autoSpaceDN w:val="0"/>
        <w:adjustRightInd w:val="0"/>
        <w:jc w:val="both"/>
        <w:rPr>
          <w:rFonts w:ascii="Arial" w:hAnsi="Arial" w:cs="Arial"/>
          <w:noProof/>
          <w:color w:val="333333"/>
        </w:rPr>
      </w:pPr>
      <w:r w:rsidRPr="004D2F7B">
        <w:rPr>
          <w:rFonts w:ascii="Arial" w:hAnsi="Arial" w:cs="Arial"/>
          <w:noProof/>
          <w:color w:val="333333"/>
        </w:rPr>
        <w:t>Més enllà de la reforma laboral, la moció aprova</w:t>
      </w:r>
      <w:r w:rsidR="002116C3">
        <w:rPr>
          <w:rFonts w:ascii="Arial" w:hAnsi="Arial" w:cs="Arial"/>
          <w:noProof/>
          <w:color w:val="333333"/>
        </w:rPr>
        <w:t>da al ple del Prat tambe insta e</w:t>
      </w:r>
      <w:r w:rsidRPr="004D2F7B">
        <w:rPr>
          <w:rFonts w:ascii="Arial" w:hAnsi="Arial" w:cs="Arial"/>
          <w:noProof/>
          <w:color w:val="333333"/>
        </w:rPr>
        <w:t xml:space="preserve">l Govern de l’Estat a continuar treballant per garantir l’ocupació estable de qualitat, amb especial atenció a dones i joves, i per aprofundir en el diàleg social per aconseguir nous acords per a la reducció de les desigualtats. </w:t>
      </w:r>
    </w:p>
    <w:p w14:paraId="3BDFA8E1" w14:textId="77777777" w:rsidR="00063F42" w:rsidRPr="004D2F7B" w:rsidRDefault="00063F42" w:rsidP="00CA68D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E5E8BB8" w14:textId="77777777" w:rsidR="00063F42" w:rsidRPr="004D2F7B" w:rsidRDefault="00063F42" w:rsidP="00CA68D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4D2F7B">
        <w:rPr>
          <w:rFonts w:ascii="Arial" w:hAnsi="Arial" w:cs="Arial"/>
          <w:b/>
        </w:rPr>
        <w:t>Comença el procés per delimitar el Prat com a àrea de tanteig i retracte</w:t>
      </w:r>
    </w:p>
    <w:p w14:paraId="5C22CC5D" w14:textId="77777777" w:rsidR="00063F42" w:rsidRPr="004D2F7B" w:rsidRDefault="00063F42" w:rsidP="00CA68D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E06E04E" w14:textId="2D32C080" w:rsidR="0057751B" w:rsidRPr="004D2F7B" w:rsidRDefault="00CA68DB" w:rsidP="008E39A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D2F7B">
        <w:rPr>
          <w:rFonts w:ascii="Arial" w:hAnsi="Arial" w:cs="Arial"/>
        </w:rPr>
        <w:t xml:space="preserve">El ple municipal </w:t>
      </w:r>
      <w:r w:rsidR="007928EE" w:rsidRPr="004D2F7B">
        <w:rPr>
          <w:rFonts w:ascii="Arial" w:hAnsi="Arial" w:cs="Arial"/>
        </w:rPr>
        <w:t xml:space="preserve">també ha </w:t>
      </w:r>
      <w:r w:rsidRPr="004D2F7B">
        <w:rPr>
          <w:rFonts w:ascii="Arial" w:hAnsi="Arial" w:cs="Arial"/>
        </w:rPr>
        <w:t>aprovat avui de forma inicial la modificació del Pla general metropolità per a la delimitació del Prat de Llobregat com a àrea subjecta a tanteig i retracte</w:t>
      </w:r>
      <w:r w:rsidR="008E39A5" w:rsidRPr="004D2F7B">
        <w:rPr>
          <w:rFonts w:ascii="Arial" w:hAnsi="Arial" w:cs="Arial"/>
        </w:rPr>
        <w:t xml:space="preserve">, </w:t>
      </w:r>
      <w:r w:rsidR="00E34798" w:rsidRPr="00E34798">
        <w:rPr>
          <w:rFonts w:ascii="Arial" w:hAnsi="Arial" w:cs="Arial"/>
        </w:rPr>
        <w:t>amb els vot favorable de tots els grups municipals, excepte de C’s, que s’ha abstingut</w:t>
      </w:r>
      <w:r w:rsidR="008E39A5" w:rsidRPr="00E34798">
        <w:rPr>
          <w:rFonts w:ascii="Arial" w:hAnsi="Arial" w:cs="Arial"/>
        </w:rPr>
        <w:t>.</w:t>
      </w:r>
      <w:r w:rsidR="004D2F7B" w:rsidRPr="004D2F7B">
        <w:rPr>
          <w:rFonts w:ascii="Arial" w:hAnsi="Arial" w:cs="Arial"/>
        </w:rPr>
        <w:t xml:space="preserve"> </w:t>
      </w:r>
      <w:r w:rsidR="008E39A5" w:rsidRPr="004D2F7B">
        <w:rPr>
          <w:rFonts w:ascii="Arial" w:hAnsi="Arial" w:cs="Arial"/>
        </w:rPr>
        <w:t>Quan entri en vigor</w:t>
      </w:r>
      <w:r w:rsidR="00EC07FE" w:rsidRPr="004D2F7B">
        <w:rPr>
          <w:rFonts w:ascii="Arial" w:hAnsi="Arial" w:cs="Arial"/>
        </w:rPr>
        <w:t xml:space="preserve"> aquesta mesura</w:t>
      </w:r>
      <w:r w:rsidR="008E39A5" w:rsidRPr="004D2F7B">
        <w:rPr>
          <w:rFonts w:ascii="Arial" w:hAnsi="Arial" w:cs="Arial"/>
        </w:rPr>
        <w:t>,</w:t>
      </w:r>
      <w:r w:rsidR="00EC07FE" w:rsidRPr="004D2F7B">
        <w:rPr>
          <w:rFonts w:ascii="Arial" w:hAnsi="Arial" w:cs="Arial"/>
        </w:rPr>
        <w:t xml:space="preserve"> que després de l’aprovació inicial ha de continuar la seva tramitació,</w:t>
      </w:r>
      <w:r w:rsidR="008E39A5" w:rsidRPr="004D2F7B">
        <w:rPr>
          <w:rFonts w:ascii="Arial" w:hAnsi="Arial" w:cs="Arial"/>
        </w:rPr>
        <w:t xml:space="preserve"> </w:t>
      </w:r>
      <w:r w:rsidR="00EC07FE" w:rsidRPr="004D2F7B">
        <w:rPr>
          <w:rFonts w:ascii="Arial" w:hAnsi="Arial" w:cs="Arial"/>
        </w:rPr>
        <w:t xml:space="preserve">l’administració tindrà preferència per adquirir aquells immobles (o solars) que es posin a la venda, amb la finalitat de poder ampliar el parc d’habitatge públic, social i assequible de la ciutat. Els </w:t>
      </w:r>
      <w:r w:rsidR="008E39A5" w:rsidRPr="004D2F7B">
        <w:rPr>
          <w:rFonts w:ascii="Arial" w:hAnsi="Arial" w:cs="Arial"/>
        </w:rPr>
        <w:t>propietaris que els posin a la venda ho hauran de notificar a l’Ajuntament. El consistori podrà adquirir els immobles o terrenys al mateix preu acordat abans (tanteig) o després (retracte) d’efectuar</w:t>
      </w:r>
      <w:r w:rsidR="008E39A5" w:rsidRPr="004D2F7B">
        <w:rPr>
          <w:rFonts w:ascii="Cambria Math" w:hAnsi="Cambria Math" w:cs="Cambria Math"/>
        </w:rPr>
        <w:t>‐</w:t>
      </w:r>
      <w:r w:rsidR="008E39A5" w:rsidRPr="004D2F7B">
        <w:rPr>
          <w:rFonts w:ascii="Arial" w:hAnsi="Arial" w:cs="Arial"/>
        </w:rPr>
        <w:t xml:space="preserve">se la compravenda. </w:t>
      </w:r>
    </w:p>
    <w:p w14:paraId="28D7E5FB" w14:textId="77777777" w:rsidR="008E39A5" w:rsidRPr="004D2F7B" w:rsidRDefault="008E39A5" w:rsidP="00CA68D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D9E9942" w14:textId="77777777" w:rsidR="0057751B" w:rsidRDefault="008E39A5" w:rsidP="00CA68D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D2F7B">
        <w:rPr>
          <w:rFonts w:ascii="Arial" w:hAnsi="Arial" w:cs="Arial"/>
        </w:rPr>
        <w:t xml:space="preserve">Una de les principals finalitats d’aquesta mesura és que l’Ajuntament incrementi el patrimoni municipal de sòl i habitatge, per tal de poder </w:t>
      </w:r>
      <w:r w:rsidR="002116C3">
        <w:rPr>
          <w:rFonts w:ascii="Arial" w:hAnsi="Arial" w:cs="Arial"/>
        </w:rPr>
        <w:t>ampliar</w:t>
      </w:r>
      <w:r w:rsidRPr="004D2F7B">
        <w:rPr>
          <w:rFonts w:ascii="Arial" w:hAnsi="Arial" w:cs="Arial"/>
        </w:rPr>
        <w:t xml:space="preserve"> el parc residencial destinat a polítiques socials. Però aquest no és l’únic objectiu: també es pretén evitar l’especulació immobiliària  i fer seguiment de la desqualif</w:t>
      </w:r>
      <w:r w:rsidR="007729F3">
        <w:rPr>
          <w:rFonts w:ascii="Arial" w:hAnsi="Arial" w:cs="Arial"/>
        </w:rPr>
        <w:t>icació dels habitatges de</w:t>
      </w:r>
      <w:r w:rsidRPr="004D2F7B">
        <w:rPr>
          <w:rFonts w:ascii="Arial" w:hAnsi="Arial" w:cs="Arial"/>
        </w:rPr>
        <w:t xml:space="preserve"> protecció oficial de promoció pública. </w:t>
      </w:r>
      <w:r w:rsidR="0057751B" w:rsidRPr="004D2F7B">
        <w:rPr>
          <w:rFonts w:ascii="Arial" w:hAnsi="Arial" w:cs="Arial"/>
        </w:rPr>
        <w:t>Tot i que</w:t>
      </w:r>
      <w:r w:rsidRPr="004D2F7B">
        <w:rPr>
          <w:rFonts w:ascii="Arial" w:hAnsi="Arial" w:cs="Arial"/>
        </w:rPr>
        <w:t>, a Catalunya, els habitatges de protec</w:t>
      </w:r>
      <w:r w:rsidR="004D2F7B">
        <w:rPr>
          <w:rFonts w:ascii="Arial" w:hAnsi="Arial" w:cs="Arial"/>
        </w:rPr>
        <w:t>ció oficial de nova construcció</w:t>
      </w:r>
      <w:r w:rsidRPr="004D2F7B">
        <w:rPr>
          <w:rFonts w:ascii="Arial" w:hAnsi="Arial" w:cs="Arial"/>
        </w:rPr>
        <w:t xml:space="preserve"> estan protegits de forma permanent </w:t>
      </w:r>
      <w:r w:rsidR="00EC07FE" w:rsidRPr="004D2F7B">
        <w:rPr>
          <w:rFonts w:ascii="Arial" w:hAnsi="Arial" w:cs="Arial"/>
        </w:rPr>
        <w:t>des de finals de 201</w:t>
      </w:r>
      <w:r w:rsidR="007928EE" w:rsidRPr="004D2F7B">
        <w:rPr>
          <w:rFonts w:ascii="Arial" w:hAnsi="Arial" w:cs="Arial"/>
        </w:rPr>
        <w:t>9 (segons el decret 17</w:t>
      </w:r>
      <w:r w:rsidR="0057751B" w:rsidRPr="004D2F7B">
        <w:rPr>
          <w:rFonts w:ascii="Arial" w:hAnsi="Arial" w:cs="Arial"/>
        </w:rPr>
        <w:t>/</w:t>
      </w:r>
      <w:r w:rsidR="007928EE" w:rsidRPr="004D2F7B">
        <w:rPr>
          <w:rFonts w:ascii="Arial" w:hAnsi="Arial" w:cs="Arial"/>
        </w:rPr>
        <w:t>20</w:t>
      </w:r>
      <w:r w:rsidR="004D2F7B" w:rsidRPr="004D2F7B">
        <w:rPr>
          <w:rFonts w:ascii="Arial" w:hAnsi="Arial" w:cs="Arial"/>
        </w:rPr>
        <w:t>19)</w:t>
      </w:r>
      <w:r w:rsidR="0057751B" w:rsidRPr="004D2F7B">
        <w:rPr>
          <w:rFonts w:ascii="Arial" w:hAnsi="Arial" w:cs="Arial"/>
        </w:rPr>
        <w:t xml:space="preserve">, els que es van construir </w:t>
      </w:r>
      <w:r w:rsidR="007729F3">
        <w:rPr>
          <w:rFonts w:ascii="Arial" w:hAnsi="Arial" w:cs="Arial"/>
        </w:rPr>
        <w:t>anteriorment</w:t>
      </w:r>
      <w:r w:rsidR="0057751B" w:rsidRPr="004D2F7B">
        <w:rPr>
          <w:rFonts w:ascii="Arial" w:hAnsi="Arial" w:cs="Arial"/>
        </w:rPr>
        <w:t xml:space="preserve"> es desqualifiquen de</w:t>
      </w:r>
      <w:r w:rsidR="004D2F7B">
        <w:rPr>
          <w:rFonts w:ascii="Arial" w:hAnsi="Arial" w:cs="Arial"/>
        </w:rPr>
        <w:t>s</w:t>
      </w:r>
      <w:r w:rsidR="0057751B" w:rsidRPr="004D2F7B">
        <w:rPr>
          <w:rFonts w:ascii="Arial" w:hAnsi="Arial" w:cs="Arial"/>
        </w:rPr>
        <w:t>prés d’un període</w:t>
      </w:r>
      <w:r w:rsidR="007928EE" w:rsidRPr="004D2F7B">
        <w:rPr>
          <w:rFonts w:ascii="Arial" w:hAnsi="Arial" w:cs="Arial"/>
        </w:rPr>
        <w:t xml:space="preserve"> d’un màxim de 30 anys</w:t>
      </w:r>
      <w:r w:rsidR="0057751B" w:rsidRPr="004D2F7B">
        <w:rPr>
          <w:rFonts w:ascii="Arial" w:hAnsi="Arial" w:cs="Arial"/>
        </w:rPr>
        <w:t xml:space="preserve">. </w:t>
      </w:r>
    </w:p>
    <w:p w14:paraId="486A7954" w14:textId="77777777" w:rsidR="004D2F7B" w:rsidRPr="004D2F7B" w:rsidRDefault="004D2F7B" w:rsidP="00CA68D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7BD6B33" w14:textId="77777777" w:rsidR="0057751B" w:rsidRPr="004D2F7B" w:rsidRDefault="007928EE" w:rsidP="0057751B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4D2F7B">
        <w:rPr>
          <w:rFonts w:ascii="Arial" w:hAnsi="Arial" w:cs="Arial"/>
          <w:color w:val="000000" w:themeColor="text1"/>
        </w:rPr>
        <w:t>El dret de tanteig i retracte</w:t>
      </w:r>
      <w:r w:rsidR="0057751B" w:rsidRPr="004D2F7B">
        <w:rPr>
          <w:rFonts w:ascii="Arial" w:hAnsi="Arial" w:cs="Arial"/>
          <w:color w:val="000000" w:themeColor="text1"/>
        </w:rPr>
        <w:t xml:space="preserve"> es podrà exercir quan es facin transmissions de compravenda de diferents tipus d’habitatges i solars: habitatges de protecció oficial, terr</w:t>
      </w:r>
      <w:r w:rsidR="004A38B8" w:rsidRPr="004D2F7B">
        <w:rPr>
          <w:rFonts w:ascii="Arial" w:hAnsi="Arial" w:cs="Arial"/>
          <w:color w:val="000000" w:themeColor="text1"/>
        </w:rPr>
        <w:t>enys sense edific</w:t>
      </w:r>
      <w:r w:rsidR="0057751B" w:rsidRPr="004D2F7B">
        <w:rPr>
          <w:rFonts w:ascii="Arial" w:hAnsi="Arial" w:cs="Arial"/>
          <w:color w:val="000000" w:themeColor="text1"/>
        </w:rPr>
        <w:t>ar (solars, parcel·les…</w:t>
      </w:r>
      <w:r w:rsidR="004A38B8" w:rsidRPr="004D2F7B">
        <w:rPr>
          <w:rFonts w:ascii="Arial" w:hAnsi="Arial" w:cs="Arial"/>
          <w:color w:val="000000" w:themeColor="text1"/>
        </w:rPr>
        <w:t>), terrenys amb edifica</w:t>
      </w:r>
      <w:r w:rsidR="0057751B" w:rsidRPr="004D2F7B">
        <w:rPr>
          <w:rFonts w:ascii="Arial" w:hAnsi="Arial" w:cs="Arial"/>
          <w:color w:val="000000" w:themeColor="text1"/>
        </w:rPr>
        <w:t xml:space="preserve">cions en ruïnes o totalment desocupades, immobles en àrees declarades </w:t>
      </w:r>
      <w:r w:rsidR="00EC07FE" w:rsidRPr="004D2F7B">
        <w:rPr>
          <w:rFonts w:ascii="Arial" w:hAnsi="Arial" w:cs="Arial"/>
          <w:color w:val="000000" w:themeColor="text1"/>
        </w:rPr>
        <w:t>de rehabilitació i conservació i</w:t>
      </w:r>
      <w:r w:rsidRPr="004D2F7B">
        <w:rPr>
          <w:rFonts w:ascii="Arial" w:hAnsi="Arial" w:cs="Arial"/>
          <w:color w:val="000000" w:themeColor="text1"/>
        </w:rPr>
        <w:t xml:space="preserve"> </w:t>
      </w:r>
      <w:r w:rsidR="0057751B" w:rsidRPr="004D2F7B">
        <w:rPr>
          <w:rFonts w:ascii="Arial" w:hAnsi="Arial" w:cs="Arial"/>
          <w:color w:val="000000" w:themeColor="text1"/>
        </w:rPr>
        <w:t>pisos procedents d’execucions hipotecàries o de procediments de compensac</w:t>
      </w:r>
      <w:r w:rsidRPr="004D2F7B">
        <w:rPr>
          <w:rFonts w:ascii="Arial" w:hAnsi="Arial" w:cs="Arial"/>
          <w:color w:val="000000" w:themeColor="text1"/>
        </w:rPr>
        <w:t>ió o garantia de deutes amb gar</w:t>
      </w:r>
      <w:r w:rsidR="0057751B" w:rsidRPr="004D2F7B">
        <w:rPr>
          <w:rFonts w:ascii="Arial" w:hAnsi="Arial" w:cs="Arial"/>
          <w:color w:val="000000" w:themeColor="text1"/>
        </w:rPr>
        <w:t>a</w:t>
      </w:r>
      <w:r w:rsidRPr="004D2F7B">
        <w:rPr>
          <w:rFonts w:ascii="Arial" w:hAnsi="Arial" w:cs="Arial"/>
          <w:color w:val="000000" w:themeColor="text1"/>
        </w:rPr>
        <w:t>n</w:t>
      </w:r>
      <w:r w:rsidR="0057751B" w:rsidRPr="004D2F7B">
        <w:rPr>
          <w:rFonts w:ascii="Arial" w:hAnsi="Arial" w:cs="Arial"/>
          <w:color w:val="000000" w:themeColor="text1"/>
        </w:rPr>
        <w:t>tia hipotecària</w:t>
      </w:r>
      <w:r w:rsidR="00EC07FE" w:rsidRPr="004D2F7B">
        <w:rPr>
          <w:rFonts w:ascii="Arial" w:hAnsi="Arial" w:cs="Arial"/>
          <w:color w:val="000000" w:themeColor="text1"/>
        </w:rPr>
        <w:t xml:space="preserve">, entre d’altres. </w:t>
      </w:r>
      <w:r w:rsidR="0057751B" w:rsidRPr="004D2F7B">
        <w:rPr>
          <w:rFonts w:ascii="Arial" w:hAnsi="Arial" w:cs="Arial"/>
          <w:color w:val="000000" w:themeColor="text1"/>
        </w:rPr>
        <w:t>S’elaborarà d’ofici un cens</w:t>
      </w:r>
      <w:r w:rsidR="004A38B8" w:rsidRPr="004D2F7B">
        <w:rPr>
          <w:rFonts w:ascii="Arial" w:hAnsi="Arial" w:cs="Arial"/>
          <w:color w:val="000000" w:themeColor="text1"/>
        </w:rPr>
        <w:t>,</w:t>
      </w:r>
      <w:r w:rsidR="0057751B" w:rsidRPr="004D2F7B">
        <w:rPr>
          <w:rFonts w:ascii="Arial" w:hAnsi="Arial" w:cs="Arial"/>
          <w:color w:val="000000" w:themeColor="text1"/>
        </w:rPr>
        <w:t xml:space="preserve"> que s’actualitzarà periòdicament</w:t>
      </w:r>
      <w:r w:rsidR="004A38B8" w:rsidRPr="004D2F7B">
        <w:rPr>
          <w:rFonts w:ascii="Arial" w:hAnsi="Arial" w:cs="Arial"/>
          <w:color w:val="000000" w:themeColor="text1"/>
        </w:rPr>
        <w:t xml:space="preserve">, </w:t>
      </w:r>
      <w:r w:rsidR="0057751B" w:rsidRPr="004D2F7B">
        <w:rPr>
          <w:rFonts w:ascii="Arial" w:hAnsi="Arial" w:cs="Arial"/>
          <w:color w:val="000000" w:themeColor="text1"/>
        </w:rPr>
        <w:t>on s’incorporaran els immobles i terrenys subject</w:t>
      </w:r>
      <w:r w:rsidR="004A38B8" w:rsidRPr="004D2F7B">
        <w:rPr>
          <w:rFonts w:ascii="Arial" w:hAnsi="Arial" w:cs="Arial"/>
          <w:color w:val="000000" w:themeColor="text1"/>
        </w:rPr>
        <w:t>es a dret de tanteig i retracte.</w:t>
      </w:r>
    </w:p>
    <w:p w14:paraId="78C65BA4" w14:textId="77777777" w:rsidR="004A38B8" w:rsidRPr="004D2F7B" w:rsidRDefault="004A38B8" w:rsidP="0057751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6CB693CB" w14:textId="77777777" w:rsidR="004A38B8" w:rsidRDefault="00EC07FE" w:rsidP="004A38B8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4D2F7B">
        <w:rPr>
          <w:rFonts w:ascii="Arial" w:hAnsi="Arial" w:cs="Arial"/>
          <w:color w:val="000000" w:themeColor="text1"/>
        </w:rPr>
        <w:t>L’Ajuntame</w:t>
      </w:r>
      <w:r w:rsidR="004A38B8" w:rsidRPr="004D2F7B">
        <w:rPr>
          <w:rFonts w:ascii="Arial" w:hAnsi="Arial" w:cs="Arial"/>
          <w:color w:val="000000" w:themeColor="text1"/>
        </w:rPr>
        <w:t>n</w:t>
      </w:r>
      <w:r w:rsidRPr="004D2F7B">
        <w:rPr>
          <w:rFonts w:ascii="Arial" w:hAnsi="Arial" w:cs="Arial"/>
          <w:color w:val="000000" w:themeColor="text1"/>
        </w:rPr>
        <w:t>t</w:t>
      </w:r>
      <w:r w:rsidR="004D2F7B">
        <w:rPr>
          <w:rFonts w:ascii="Arial" w:hAnsi="Arial" w:cs="Arial"/>
          <w:color w:val="000000" w:themeColor="text1"/>
        </w:rPr>
        <w:t xml:space="preserve"> del Prat exercirà el dret de tanteig i retracte a</w:t>
      </w:r>
      <w:r w:rsidR="004A38B8" w:rsidRPr="004D2F7B">
        <w:rPr>
          <w:rFonts w:ascii="Arial" w:hAnsi="Arial" w:cs="Arial"/>
          <w:color w:val="000000" w:themeColor="text1"/>
        </w:rPr>
        <w:t xml:space="preserve"> partir de criteris objectius basats en la disponibilitat pressupostària, els costos econòmics de l’adquisició dels habitatges, l’estat de conservació dels immobles o d’altres aspectes d’interès general</w:t>
      </w:r>
      <w:r w:rsidR="004D2F7B">
        <w:rPr>
          <w:rFonts w:ascii="Arial" w:hAnsi="Arial" w:cs="Arial"/>
          <w:color w:val="000000" w:themeColor="text1"/>
        </w:rPr>
        <w:t>.</w:t>
      </w:r>
    </w:p>
    <w:p w14:paraId="3350BE45" w14:textId="77777777" w:rsidR="004A38B8" w:rsidRPr="004D2F7B" w:rsidRDefault="004A38B8" w:rsidP="00CA68D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BA029B8" w14:textId="77777777" w:rsidR="004A38B8" w:rsidRPr="004D2F7B" w:rsidRDefault="004A38B8" w:rsidP="004A38B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D2F7B">
        <w:rPr>
          <w:rFonts w:ascii="Arial" w:hAnsi="Arial" w:cs="Arial"/>
        </w:rPr>
        <w:t xml:space="preserve">La delimitació del Prat com a àrea de tanteig i retracte és una de les línies d’actuació contemplades al Pla local d’habitatge 2021-2027, que va aprovar el </w:t>
      </w:r>
      <w:r w:rsidRPr="004D2F7B">
        <w:rPr>
          <w:rFonts w:ascii="Arial" w:hAnsi="Arial" w:cs="Arial"/>
        </w:rPr>
        <w:lastRenderedPageBreak/>
        <w:t>ple municipal el passat mes de juliol</w:t>
      </w:r>
      <w:r w:rsidR="00EC07FE" w:rsidRPr="004D2F7B">
        <w:rPr>
          <w:rFonts w:ascii="Arial" w:hAnsi="Arial" w:cs="Arial"/>
        </w:rPr>
        <w:t xml:space="preserve"> després d’un procés participatiu</w:t>
      </w:r>
      <w:r w:rsidRPr="004D2F7B">
        <w:rPr>
          <w:rFonts w:ascii="Arial" w:hAnsi="Arial" w:cs="Arial"/>
        </w:rPr>
        <w:t xml:space="preserve">. El pla consta d’un pressupost total de 25 milions d’euros, dels </w:t>
      </w:r>
      <w:r w:rsidR="007729F3">
        <w:rPr>
          <w:rFonts w:ascii="Arial" w:hAnsi="Arial" w:cs="Arial"/>
        </w:rPr>
        <w:t>quals 16,5 euros estan adreçats</w:t>
      </w:r>
      <w:r w:rsidRPr="004D2F7B">
        <w:rPr>
          <w:rFonts w:ascii="Arial" w:hAnsi="Arial" w:cs="Arial"/>
        </w:rPr>
        <w:t xml:space="preserve"> </w:t>
      </w:r>
      <w:r w:rsidR="007729F3">
        <w:rPr>
          <w:rFonts w:ascii="Arial" w:hAnsi="Arial" w:cs="Arial"/>
        </w:rPr>
        <w:t xml:space="preserve">a </w:t>
      </w:r>
      <w:r w:rsidRPr="004D2F7B">
        <w:rPr>
          <w:rFonts w:ascii="Arial" w:hAnsi="Arial" w:cs="Arial"/>
        </w:rPr>
        <w:t>ampliar el parc d’habitatge públic, social i assequible</w:t>
      </w:r>
      <w:r w:rsidR="007729F3">
        <w:rPr>
          <w:rFonts w:ascii="Arial" w:hAnsi="Arial" w:cs="Arial"/>
        </w:rPr>
        <w:t xml:space="preserve">. En el marc d’aquest eix d’actuació, el pla també preveu </w:t>
      </w:r>
      <w:r w:rsidRPr="004D2F7B">
        <w:rPr>
          <w:rFonts w:ascii="Arial" w:hAnsi="Arial" w:cs="Arial"/>
          <w:color w:val="1A1A1A"/>
        </w:rPr>
        <w:t>doblar el lloguer social i assequible a la ciutat, passant dels 329 pisos actuals a més de 600</w:t>
      </w:r>
      <w:r w:rsidR="007729F3">
        <w:rPr>
          <w:rFonts w:ascii="Arial" w:hAnsi="Arial" w:cs="Arial"/>
          <w:color w:val="1A1A1A"/>
        </w:rPr>
        <w:t>, entre d’</w:t>
      </w:r>
      <w:r w:rsidR="0036467B" w:rsidRPr="004D2F7B">
        <w:rPr>
          <w:rFonts w:ascii="Arial" w:hAnsi="Arial" w:cs="Arial"/>
          <w:color w:val="1A1A1A"/>
        </w:rPr>
        <w:t>altres mesures.</w:t>
      </w:r>
    </w:p>
    <w:p w14:paraId="0A6D4AB8" w14:textId="77777777" w:rsidR="0036467B" w:rsidRPr="004D2F7B" w:rsidRDefault="0036467B" w:rsidP="004A38B8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14:paraId="1DD82447" w14:textId="77777777" w:rsidR="004A38B8" w:rsidRPr="004D2F7B" w:rsidRDefault="00EC07FE" w:rsidP="0036467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D2F7B">
        <w:rPr>
          <w:rFonts w:ascii="Arial" w:hAnsi="Arial" w:cs="Arial"/>
        </w:rPr>
        <w:t xml:space="preserve">El pla local també contempla tres eixos </w:t>
      </w:r>
      <w:r w:rsidR="0036467B" w:rsidRPr="004D2F7B">
        <w:rPr>
          <w:rFonts w:ascii="Arial" w:hAnsi="Arial" w:cs="Arial"/>
        </w:rPr>
        <w:t xml:space="preserve">d’actuació </w:t>
      </w:r>
      <w:r w:rsidRPr="004D2F7B">
        <w:rPr>
          <w:rFonts w:ascii="Arial" w:hAnsi="Arial" w:cs="Arial"/>
        </w:rPr>
        <w:t xml:space="preserve">més: </w:t>
      </w:r>
      <w:r w:rsidR="0036467B" w:rsidRPr="004D2F7B">
        <w:rPr>
          <w:rFonts w:ascii="Arial" w:hAnsi="Arial" w:cs="Arial"/>
        </w:rPr>
        <w:t>r</w:t>
      </w:r>
      <w:r w:rsidR="004A38B8" w:rsidRPr="004D2F7B">
        <w:rPr>
          <w:rFonts w:ascii="Arial" w:hAnsi="Arial" w:cs="Arial"/>
        </w:rPr>
        <w:t>ehabilitar i mantenir el parc d’habitatge</w:t>
      </w:r>
      <w:r w:rsidR="0036467B" w:rsidRPr="004D2F7B">
        <w:rPr>
          <w:rFonts w:ascii="Arial" w:hAnsi="Arial" w:cs="Arial"/>
        </w:rPr>
        <w:t xml:space="preserve">, amb criteris d’eficiència energètica; prevenir </w:t>
      </w:r>
      <w:r w:rsidR="004A38B8" w:rsidRPr="004D2F7B">
        <w:rPr>
          <w:rFonts w:ascii="Arial" w:hAnsi="Arial" w:cs="Arial"/>
        </w:rPr>
        <w:t>i atendre l’exclusió residencial</w:t>
      </w:r>
      <w:r w:rsidR="0036467B" w:rsidRPr="004D2F7B">
        <w:rPr>
          <w:rFonts w:ascii="Arial" w:hAnsi="Arial" w:cs="Arial"/>
        </w:rPr>
        <w:t>;</w:t>
      </w:r>
      <w:r w:rsidR="004A38B8" w:rsidRPr="004D2F7B">
        <w:rPr>
          <w:rFonts w:ascii="Arial" w:hAnsi="Arial" w:cs="Arial"/>
        </w:rPr>
        <w:t xml:space="preserve"> </w:t>
      </w:r>
      <w:r w:rsidR="0036467B" w:rsidRPr="004D2F7B">
        <w:rPr>
          <w:rFonts w:ascii="Arial" w:hAnsi="Arial" w:cs="Arial"/>
        </w:rPr>
        <w:t>i controlar el preu del lloguer i que es faci un bon ús dels habitatge</w:t>
      </w:r>
      <w:r w:rsidR="002116C3">
        <w:rPr>
          <w:rFonts w:ascii="Arial" w:hAnsi="Arial" w:cs="Arial"/>
        </w:rPr>
        <w:t>s</w:t>
      </w:r>
      <w:r w:rsidR="0036467B" w:rsidRPr="004D2F7B">
        <w:rPr>
          <w:rFonts w:ascii="Arial" w:hAnsi="Arial" w:cs="Arial"/>
        </w:rPr>
        <w:t xml:space="preserve">. Cal recordar que </w:t>
      </w:r>
      <w:r w:rsidR="002116C3">
        <w:rPr>
          <w:rFonts w:ascii="Arial" w:hAnsi="Arial" w:cs="Arial"/>
        </w:rPr>
        <w:t>el Prat també ha estat declarat</w:t>
      </w:r>
      <w:r w:rsidR="0036467B" w:rsidRPr="004D2F7B">
        <w:rPr>
          <w:rFonts w:ascii="Arial" w:hAnsi="Arial" w:cs="Arial"/>
        </w:rPr>
        <w:t xml:space="preserve"> </w:t>
      </w:r>
      <w:r w:rsidRPr="004D2F7B">
        <w:rPr>
          <w:rFonts w:ascii="Arial" w:hAnsi="Arial" w:cs="Arial"/>
        </w:rPr>
        <w:t xml:space="preserve">àrea de mercat </w:t>
      </w:r>
      <w:r w:rsidR="0036467B" w:rsidRPr="004D2F7B">
        <w:rPr>
          <w:rFonts w:ascii="Arial" w:hAnsi="Arial" w:cs="Arial"/>
        </w:rPr>
        <w:t xml:space="preserve">d’habitatge tens i, com a tal, s’hi pot aplicar la </w:t>
      </w:r>
      <w:r w:rsidRPr="004D2F7B">
        <w:rPr>
          <w:rFonts w:ascii="Arial" w:hAnsi="Arial" w:cs="Arial"/>
        </w:rPr>
        <w:t xml:space="preserve">llei de </w:t>
      </w:r>
      <w:r w:rsidR="0036467B" w:rsidRPr="004D2F7B">
        <w:rPr>
          <w:rFonts w:ascii="Arial" w:hAnsi="Arial" w:cs="Arial"/>
        </w:rPr>
        <w:t xml:space="preserve">regulació del preu del lloguer, aprovada al Parlament </w:t>
      </w:r>
      <w:r w:rsidRPr="004D2F7B">
        <w:rPr>
          <w:rFonts w:ascii="Arial" w:hAnsi="Arial" w:cs="Arial"/>
        </w:rPr>
        <w:t xml:space="preserve">de Catalunya el setembre </w:t>
      </w:r>
      <w:r w:rsidR="0036467B" w:rsidRPr="004D2F7B">
        <w:rPr>
          <w:rFonts w:ascii="Arial" w:hAnsi="Arial" w:cs="Arial"/>
        </w:rPr>
        <w:t xml:space="preserve">de 2020. </w:t>
      </w:r>
    </w:p>
    <w:p w14:paraId="07F46A73" w14:textId="77777777" w:rsidR="0057751B" w:rsidRPr="002116C3" w:rsidRDefault="0057751B" w:rsidP="00CA68D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46A46929" w14:textId="77777777" w:rsidR="002116C3" w:rsidRPr="002116C3" w:rsidRDefault="002116C3" w:rsidP="00CA68D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2116C3">
        <w:rPr>
          <w:rFonts w:ascii="Arial" w:hAnsi="Arial" w:cs="Arial"/>
          <w:b/>
        </w:rPr>
        <w:t xml:space="preserve">Ratificada la modificació dels estatuts del CONGIAC, ens públic que agrupa diversos ajuntaments per a la gestió pública de l’aigua </w:t>
      </w:r>
    </w:p>
    <w:p w14:paraId="2C632A41" w14:textId="77777777" w:rsidR="002116C3" w:rsidRPr="004D2F7B" w:rsidRDefault="002116C3" w:rsidP="00CA68D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57E8550" w14:textId="0845B7E5" w:rsidR="00245588" w:rsidRPr="00245588" w:rsidRDefault="002116C3" w:rsidP="002455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p</w:t>
      </w:r>
      <w:r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Prat </w:t>
      </w:r>
      <w:r>
        <w:rPr>
          <w:rFonts w:ascii="Arial" w:hAnsi="Arial" w:cs="Arial"/>
        </w:rPr>
        <w:t xml:space="preserve">també </w:t>
      </w:r>
      <w:r>
        <w:rPr>
          <w:rFonts w:ascii="Arial" w:hAnsi="Arial" w:cs="Arial"/>
        </w:rPr>
        <w:t>ratifica</w:t>
      </w:r>
      <w:r>
        <w:rPr>
          <w:rFonts w:ascii="Arial" w:hAnsi="Arial" w:cs="Arial"/>
        </w:rPr>
        <w:t>t</w:t>
      </w:r>
      <w:r w:rsidRPr="00233DB7">
        <w:rPr>
          <w:rFonts w:ascii="Arial" w:hAnsi="Arial" w:cs="Arial"/>
        </w:rPr>
        <w:t xml:space="preserve"> la modificació dels estatuts </w:t>
      </w:r>
      <w:r>
        <w:rPr>
          <w:rFonts w:ascii="Arial" w:hAnsi="Arial" w:cs="Arial"/>
        </w:rPr>
        <w:t>d</w:t>
      </w:r>
      <w:r w:rsidRPr="00233DB7">
        <w:rPr>
          <w:rFonts w:ascii="Arial" w:hAnsi="Arial" w:cs="Arial"/>
        </w:rPr>
        <w:t>el Consorci per a la Gestió</w:t>
      </w:r>
      <w:r>
        <w:rPr>
          <w:rFonts w:ascii="Arial" w:hAnsi="Arial" w:cs="Arial"/>
        </w:rPr>
        <w:t xml:space="preserve"> Integral d’Aigües de Catalunya (CONGIAC), </w:t>
      </w:r>
      <w:r>
        <w:rPr>
          <w:rFonts w:ascii="Arial" w:hAnsi="Arial" w:cs="Arial"/>
        </w:rPr>
        <w:t>ens públic</w:t>
      </w:r>
      <w:r>
        <w:rPr>
          <w:rFonts w:ascii="Arial" w:hAnsi="Arial" w:cs="Arial"/>
        </w:rPr>
        <w:t xml:space="preserve"> que agrupa diversos ajuntaments per a la gestió pública de l’aigua. </w:t>
      </w:r>
      <w:r w:rsidR="0034079C">
        <w:rPr>
          <w:rFonts w:ascii="Arial" w:hAnsi="Arial" w:cs="Arial"/>
        </w:rPr>
        <w:t>Aquesta modificació vol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dotar de major seguretat a l’</w:t>
      </w:r>
      <w:r>
        <w:rPr>
          <w:rFonts w:ascii="Arial" w:hAnsi="Arial" w:cs="Arial"/>
        </w:rPr>
        <w:t xml:space="preserve">ens, </w:t>
      </w:r>
      <w:r w:rsidR="00245588">
        <w:rPr>
          <w:rFonts w:ascii="Arial" w:hAnsi="Arial" w:cs="Arial"/>
        </w:rPr>
        <w:t>d</w:t>
      </w:r>
      <w:r w:rsidR="00245588">
        <w:rPr>
          <w:rFonts w:ascii="Arial" w:hAnsi="Arial" w:cs="Arial"/>
        </w:rPr>
        <w:t>a</w:t>
      </w:r>
      <w:r w:rsidR="00245588">
        <w:rPr>
          <w:rFonts w:ascii="Arial" w:hAnsi="Arial" w:cs="Arial"/>
        </w:rPr>
        <w:t xml:space="preserve">vant de la “judicialització contínua” a què s’enfronta la gestió pública de l’aigua, </w:t>
      </w:r>
      <w:r w:rsidR="00245588">
        <w:rPr>
          <w:rFonts w:ascii="Arial" w:hAnsi="Arial" w:cs="Arial"/>
        </w:rPr>
        <w:t xml:space="preserve">per les </w:t>
      </w:r>
      <w:r w:rsidR="00245588">
        <w:rPr>
          <w:rFonts w:ascii="Arial" w:hAnsi="Arial" w:cs="Arial"/>
        </w:rPr>
        <w:t xml:space="preserve">empreses del sector que s’hi oposen. Un cop més, el Prat es mostra </w:t>
      </w:r>
      <w:r w:rsidR="00245588">
        <w:rPr>
          <w:rFonts w:ascii="Arial" w:hAnsi="Arial" w:cs="Arial"/>
        </w:rPr>
        <w:t>“</w:t>
      </w:r>
      <w:r w:rsidR="00245588">
        <w:rPr>
          <w:rFonts w:ascii="Arial" w:hAnsi="Arial" w:cs="Arial"/>
        </w:rPr>
        <w:t>inequívocament a favor de la defensa de la gestió pública de l’aigua</w:t>
      </w:r>
      <w:r w:rsidR="00245588">
        <w:rPr>
          <w:rFonts w:ascii="Arial" w:hAnsi="Arial" w:cs="Arial"/>
        </w:rPr>
        <w:t xml:space="preserve">”, segons ha expressat el regidor del Dret a l’aigua del consistori,  Francisco </w:t>
      </w:r>
      <w:r w:rsidR="00245588" w:rsidRPr="00245588">
        <w:rPr>
          <w:rFonts w:ascii="Arial" w:hAnsi="Arial" w:cs="Arial"/>
        </w:rPr>
        <w:t>Manuel Lorenzo Gallardo</w:t>
      </w:r>
      <w:r w:rsidR="00245588">
        <w:rPr>
          <w:rFonts w:ascii="Arial" w:hAnsi="Arial" w:cs="Arial"/>
        </w:rPr>
        <w:t xml:space="preserve">. </w:t>
      </w:r>
    </w:p>
    <w:p w14:paraId="6587A623" w14:textId="77777777" w:rsidR="00245588" w:rsidRDefault="00245588" w:rsidP="00245588">
      <w:pPr>
        <w:jc w:val="both"/>
        <w:rPr>
          <w:rFonts w:ascii="Arial" w:hAnsi="Arial" w:cs="Arial"/>
        </w:rPr>
      </w:pPr>
    </w:p>
    <w:p w14:paraId="0DA8CB4D" w14:textId="1633530C" w:rsidR="00245588" w:rsidRDefault="00245588" w:rsidP="002455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Han votat a favor d’aquesta modificació tots els grups municipals, excepte C’s, que s’ha abstingut. </w:t>
      </w:r>
    </w:p>
    <w:p w14:paraId="6E5781D0" w14:textId="77777777" w:rsidR="00245588" w:rsidRPr="00245588" w:rsidRDefault="00245588" w:rsidP="00245588">
      <w:pPr>
        <w:jc w:val="both"/>
        <w:rPr>
          <w:lang w:eastAsia="en-US"/>
        </w:rPr>
      </w:pPr>
    </w:p>
    <w:p w14:paraId="0AEB0FEB" w14:textId="77777777" w:rsidR="00CA68DB" w:rsidRPr="002116C3" w:rsidRDefault="00CA68DB" w:rsidP="002116C3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lang w:val="es-ES"/>
        </w:rPr>
      </w:pPr>
    </w:p>
    <w:sectPr w:rsidR="00CA68DB" w:rsidRPr="002116C3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9DC35" w14:textId="77777777" w:rsidR="00485A7D" w:rsidRDefault="00485A7D" w:rsidP="00750EC7">
      <w:r>
        <w:separator/>
      </w:r>
    </w:p>
  </w:endnote>
  <w:endnote w:type="continuationSeparator" w:id="0">
    <w:p w14:paraId="722BED9C" w14:textId="77777777" w:rsidR="00485A7D" w:rsidRDefault="00485A7D" w:rsidP="007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ontserrat Light">
    <w:altName w:val="Montserrat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E4605" w14:textId="77777777" w:rsidR="00485A7D" w:rsidRDefault="00485A7D" w:rsidP="00750EC7">
      <w:r>
        <w:separator/>
      </w:r>
    </w:p>
  </w:footnote>
  <w:footnote w:type="continuationSeparator" w:id="0">
    <w:p w14:paraId="78E2B630" w14:textId="77777777" w:rsidR="00485A7D" w:rsidRDefault="00485A7D" w:rsidP="00750E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20D77" w14:textId="77777777" w:rsidR="00063F42" w:rsidRDefault="00063F42">
    <w:pPr>
      <w:pStyle w:val="Header"/>
    </w:pPr>
    <w:r>
      <w:rPr>
        <w:noProof/>
        <w:lang w:val="en-US" w:eastAsia="en-US"/>
      </w:rPr>
      <w:drawing>
        <wp:inline distT="0" distB="0" distL="0" distR="0" wp14:anchorId="052D32C2" wp14:editId="3200ED55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6B6D8B" w14:textId="77777777" w:rsidR="00063F42" w:rsidRDefault="00063F4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8602E"/>
    <w:multiLevelType w:val="hybridMultilevel"/>
    <w:tmpl w:val="3B940928"/>
    <w:lvl w:ilvl="0" w:tplc="8074566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C3D8B"/>
    <w:multiLevelType w:val="hybridMultilevel"/>
    <w:tmpl w:val="7DB87F44"/>
    <w:lvl w:ilvl="0" w:tplc="E4D0A0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34CD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6E52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C493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8628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3613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505B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9483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923B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85390C"/>
    <w:multiLevelType w:val="hybridMultilevel"/>
    <w:tmpl w:val="8D2AF788"/>
    <w:lvl w:ilvl="0" w:tplc="A078A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18E6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F8B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1E2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FCD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644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82E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FA9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00E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5D25CB"/>
    <w:multiLevelType w:val="hybridMultilevel"/>
    <w:tmpl w:val="1606263C"/>
    <w:lvl w:ilvl="0" w:tplc="3F1CA8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F2A2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CEDF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3234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697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279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20E7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F1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4B7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DF21E8"/>
    <w:multiLevelType w:val="hybridMultilevel"/>
    <w:tmpl w:val="185CC7C6"/>
    <w:lvl w:ilvl="0" w:tplc="85AEF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7E22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18D3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345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9A69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3CCB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6C4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4C4C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1CC1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63F42"/>
    <w:rsid w:val="00075FB1"/>
    <w:rsid w:val="0009512A"/>
    <w:rsid w:val="000B0003"/>
    <w:rsid w:val="000B751F"/>
    <w:rsid w:val="000C48A9"/>
    <w:rsid w:val="000F0B46"/>
    <w:rsid w:val="00110474"/>
    <w:rsid w:val="001155C0"/>
    <w:rsid w:val="001257BA"/>
    <w:rsid w:val="00126207"/>
    <w:rsid w:val="00130D9A"/>
    <w:rsid w:val="0013228B"/>
    <w:rsid w:val="00162F39"/>
    <w:rsid w:val="0016610A"/>
    <w:rsid w:val="0018102B"/>
    <w:rsid w:val="00194D07"/>
    <w:rsid w:val="001B692C"/>
    <w:rsid w:val="001F20A9"/>
    <w:rsid w:val="00203C08"/>
    <w:rsid w:val="002116C3"/>
    <w:rsid w:val="0022495B"/>
    <w:rsid w:val="00240E6C"/>
    <w:rsid w:val="00245588"/>
    <w:rsid w:val="00252D3A"/>
    <w:rsid w:val="00256436"/>
    <w:rsid w:val="00263995"/>
    <w:rsid w:val="00266F72"/>
    <w:rsid w:val="00297EB5"/>
    <w:rsid w:val="002A6005"/>
    <w:rsid w:val="002A606E"/>
    <w:rsid w:val="002B4D67"/>
    <w:rsid w:val="002F6AF6"/>
    <w:rsid w:val="00301090"/>
    <w:rsid w:val="0032192E"/>
    <w:rsid w:val="0034079C"/>
    <w:rsid w:val="003417D7"/>
    <w:rsid w:val="00341E2B"/>
    <w:rsid w:val="00361C83"/>
    <w:rsid w:val="0036467B"/>
    <w:rsid w:val="00394122"/>
    <w:rsid w:val="00396C0F"/>
    <w:rsid w:val="00397433"/>
    <w:rsid w:val="003B46AA"/>
    <w:rsid w:val="003C34C1"/>
    <w:rsid w:val="003E522C"/>
    <w:rsid w:val="003F6168"/>
    <w:rsid w:val="00411757"/>
    <w:rsid w:val="00413E57"/>
    <w:rsid w:val="00425141"/>
    <w:rsid w:val="0043480A"/>
    <w:rsid w:val="00443432"/>
    <w:rsid w:val="0044621A"/>
    <w:rsid w:val="004609DF"/>
    <w:rsid w:val="004674C8"/>
    <w:rsid w:val="004779BC"/>
    <w:rsid w:val="00485A7D"/>
    <w:rsid w:val="004A38B8"/>
    <w:rsid w:val="004D25CC"/>
    <w:rsid w:val="004D2F7B"/>
    <w:rsid w:val="004D43B2"/>
    <w:rsid w:val="004E1336"/>
    <w:rsid w:val="004E5C37"/>
    <w:rsid w:val="00551909"/>
    <w:rsid w:val="00562D3D"/>
    <w:rsid w:val="0057751B"/>
    <w:rsid w:val="005800B0"/>
    <w:rsid w:val="00580472"/>
    <w:rsid w:val="005A2FB3"/>
    <w:rsid w:val="005C10AF"/>
    <w:rsid w:val="005C7ACC"/>
    <w:rsid w:val="005E38B5"/>
    <w:rsid w:val="005F37D6"/>
    <w:rsid w:val="00607A28"/>
    <w:rsid w:val="00650607"/>
    <w:rsid w:val="00671C53"/>
    <w:rsid w:val="006848F3"/>
    <w:rsid w:val="00696845"/>
    <w:rsid w:val="006A55D8"/>
    <w:rsid w:val="006B57DB"/>
    <w:rsid w:val="006C2AC2"/>
    <w:rsid w:val="006D0502"/>
    <w:rsid w:val="006D2732"/>
    <w:rsid w:val="006E4EA9"/>
    <w:rsid w:val="006E75E0"/>
    <w:rsid w:val="006F7800"/>
    <w:rsid w:val="00707606"/>
    <w:rsid w:val="007124C1"/>
    <w:rsid w:val="00712CFF"/>
    <w:rsid w:val="00722F1F"/>
    <w:rsid w:val="00743687"/>
    <w:rsid w:val="00744028"/>
    <w:rsid w:val="00745730"/>
    <w:rsid w:val="00750EC7"/>
    <w:rsid w:val="0077133E"/>
    <w:rsid w:val="007729F3"/>
    <w:rsid w:val="00787938"/>
    <w:rsid w:val="00791D1D"/>
    <w:rsid w:val="007928EE"/>
    <w:rsid w:val="00796AE1"/>
    <w:rsid w:val="007A3787"/>
    <w:rsid w:val="007A448F"/>
    <w:rsid w:val="007B08AB"/>
    <w:rsid w:val="007B479F"/>
    <w:rsid w:val="007E209A"/>
    <w:rsid w:val="007E2F40"/>
    <w:rsid w:val="007F0DD7"/>
    <w:rsid w:val="00801B42"/>
    <w:rsid w:val="00814EB6"/>
    <w:rsid w:val="00815F9B"/>
    <w:rsid w:val="0082076A"/>
    <w:rsid w:val="008213FA"/>
    <w:rsid w:val="00822082"/>
    <w:rsid w:val="008447BF"/>
    <w:rsid w:val="0085092D"/>
    <w:rsid w:val="00851BA5"/>
    <w:rsid w:val="0086478C"/>
    <w:rsid w:val="00877C4E"/>
    <w:rsid w:val="008836C8"/>
    <w:rsid w:val="008C6270"/>
    <w:rsid w:val="008C65F3"/>
    <w:rsid w:val="008E0895"/>
    <w:rsid w:val="008E39A5"/>
    <w:rsid w:val="009069CD"/>
    <w:rsid w:val="00915832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149A0"/>
    <w:rsid w:val="00A210BC"/>
    <w:rsid w:val="00A2734D"/>
    <w:rsid w:val="00A3083D"/>
    <w:rsid w:val="00A34BEF"/>
    <w:rsid w:val="00A35B2B"/>
    <w:rsid w:val="00A37CCA"/>
    <w:rsid w:val="00A43B84"/>
    <w:rsid w:val="00A659A8"/>
    <w:rsid w:val="00A72EB3"/>
    <w:rsid w:val="00A82709"/>
    <w:rsid w:val="00A858E2"/>
    <w:rsid w:val="00AA3EF6"/>
    <w:rsid w:val="00AA6983"/>
    <w:rsid w:val="00AC427C"/>
    <w:rsid w:val="00AF6017"/>
    <w:rsid w:val="00B0521D"/>
    <w:rsid w:val="00B05397"/>
    <w:rsid w:val="00B05E97"/>
    <w:rsid w:val="00B13D0F"/>
    <w:rsid w:val="00B21367"/>
    <w:rsid w:val="00B2675E"/>
    <w:rsid w:val="00B4576C"/>
    <w:rsid w:val="00B5250B"/>
    <w:rsid w:val="00B5442B"/>
    <w:rsid w:val="00B70102"/>
    <w:rsid w:val="00B744F3"/>
    <w:rsid w:val="00B75862"/>
    <w:rsid w:val="00B854C7"/>
    <w:rsid w:val="00BA07EF"/>
    <w:rsid w:val="00BA6A0F"/>
    <w:rsid w:val="00BD189C"/>
    <w:rsid w:val="00BD47A2"/>
    <w:rsid w:val="00BE4916"/>
    <w:rsid w:val="00BF36A4"/>
    <w:rsid w:val="00BF4528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A68DB"/>
    <w:rsid w:val="00CB0A27"/>
    <w:rsid w:val="00CC652F"/>
    <w:rsid w:val="00CC71D0"/>
    <w:rsid w:val="00CD0E12"/>
    <w:rsid w:val="00CD1B91"/>
    <w:rsid w:val="00CE2D67"/>
    <w:rsid w:val="00CE7C48"/>
    <w:rsid w:val="00CF6269"/>
    <w:rsid w:val="00D1259B"/>
    <w:rsid w:val="00D1312E"/>
    <w:rsid w:val="00D25CC0"/>
    <w:rsid w:val="00D56D2D"/>
    <w:rsid w:val="00D57E8C"/>
    <w:rsid w:val="00D67FAD"/>
    <w:rsid w:val="00D8197B"/>
    <w:rsid w:val="00DB1C2B"/>
    <w:rsid w:val="00DC231B"/>
    <w:rsid w:val="00DE20AA"/>
    <w:rsid w:val="00DE4A16"/>
    <w:rsid w:val="00E12A60"/>
    <w:rsid w:val="00E2581F"/>
    <w:rsid w:val="00E345DE"/>
    <w:rsid w:val="00E34798"/>
    <w:rsid w:val="00E53F5B"/>
    <w:rsid w:val="00E55089"/>
    <w:rsid w:val="00E57215"/>
    <w:rsid w:val="00E743B5"/>
    <w:rsid w:val="00E875EF"/>
    <w:rsid w:val="00E954EA"/>
    <w:rsid w:val="00EA3DF6"/>
    <w:rsid w:val="00EC07FE"/>
    <w:rsid w:val="00ED28BC"/>
    <w:rsid w:val="00EF471C"/>
    <w:rsid w:val="00EF5FA1"/>
    <w:rsid w:val="00F1759F"/>
    <w:rsid w:val="00F214DF"/>
    <w:rsid w:val="00F23930"/>
    <w:rsid w:val="00F53533"/>
    <w:rsid w:val="00F544B1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1239D4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82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2455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8047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750EC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locked/>
    <w:rsid w:val="00750EC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750EC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locked/>
    <w:rsid w:val="00750EC7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750E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750E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A3DF6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BF36A4"/>
    <w:rPr>
      <w:b/>
      <w:bCs/>
    </w:rPr>
  </w:style>
  <w:style w:type="character" w:styleId="FollowedHyperlink">
    <w:name w:val="FollowedHyperlink"/>
    <w:basedOn w:val="DefaultParagraphFont"/>
    <w:rsid w:val="00203C08"/>
    <w:rPr>
      <w:color w:val="800080" w:themeColor="followedHyperlink"/>
      <w:u w:val="single"/>
    </w:rPr>
  </w:style>
  <w:style w:type="paragraph" w:customStyle="1" w:styleId="Default">
    <w:name w:val="Default"/>
    <w:rsid w:val="00F544B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CA68DB"/>
    <w:pPr>
      <w:autoSpaceDE w:val="0"/>
      <w:autoSpaceDN w:val="0"/>
      <w:adjustRightInd w:val="0"/>
      <w:spacing w:line="301" w:lineRule="atLeast"/>
    </w:pPr>
    <w:rPr>
      <w:rFonts w:ascii="Montserrat Light" w:hAnsi="Montserrat Light"/>
    </w:rPr>
  </w:style>
  <w:style w:type="character" w:customStyle="1" w:styleId="A15">
    <w:name w:val="A15"/>
    <w:uiPriority w:val="99"/>
    <w:rsid w:val="00CA68DB"/>
    <w:rPr>
      <w:rFonts w:cs="Montserrat Light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24558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29462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5152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1369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4835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6427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7644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953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598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049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07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959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70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8677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7554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5410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763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885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3EF99-7262-324A-890C-DC05C3A3D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1105</Words>
  <Characters>6301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NOTA DE PREMSA</vt:lpstr>
    </vt:vector>
  </TitlesOfParts>
  <Company>Hewlett-Packard Company</Company>
  <LinksUpToDate>false</LinksUpToDate>
  <CharactersWithSpaces>7392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Microsoft Office User</cp:lastModifiedBy>
  <cp:revision>4</cp:revision>
  <cp:lastPrinted>2022-01-31T12:29:00Z</cp:lastPrinted>
  <dcterms:created xsi:type="dcterms:W3CDTF">2022-02-02T14:09:00Z</dcterms:created>
  <dcterms:modified xsi:type="dcterms:W3CDTF">2022-02-02T18:04:00Z</dcterms:modified>
</cp:coreProperties>
</file>