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CC" w:rsidRDefault="002F1ACC" w:rsidP="009815EA">
      <w:pPr>
        <w:jc w:val="center"/>
        <w:rPr>
          <w:rFonts w:ascii="Arial" w:hAnsi="Arial" w:cs="Arial"/>
          <w:b/>
          <w:color w:val="1A1A1A"/>
          <w:u w:val="single"/>
        </w:rPr>
      </w:pPr>
      <w:r>
        <w:rPr>
          <w:rFonts w:ascii="Arial" w:hAnsi="Arial" w:cs="Arial"/>
          <w:b/>
          <w:color w:val="1A1A1A"/>
          <w:u w:val="single"/>
        </w:rPr>
        <w:t xml:space="preserve">Convocatòria de premsa, dijous 14 d’octubre, al Prat </w:t>
      </w:r>
    </w:p>
    <w:p w:rsidR="00D6194E" w:rsidRPr="002F1ACC" w:rsidRDefault="002F1ACC" w:rsidP="002F1ACC">
      <w:pPr>
        <w:jc w:val="center"/>
        <w:rPr>
          <w:rFonts w:ascii="Arial" w:hAnsi="Arial" w:cs="Arial"/>
          <w:b/>
          <w:color w:val="1A1A1A"/>
          <w:u w:val="single"/>
        </w:rPr>
      </w:pPr>
      <w:r w:rsidRPr="002F1ACC">
        <w:rPr>
          <w:rFonts w:ascii="Arial" w:hAnsi="Arial" w:cs="Arial"/>
          <w:b/>
          <w:color w:val="1A1A1A"/>
          <w:sz w:val="36"/>
          <w:szCs w:val="36"/>
        </w:rPr>
        <w:t xml:space="preserve">Presentació de </w:t>
      </w:r>
      <w:r w:rsidR="00D6194E" w:rsidRPr="007F2A96">
        <w:rPr>
          <w:rFonts w:ascii="Arial" w:hAnsi="Arial" w:cs="Arial"/>
          <w:b/>
          <w:color w:val="1A1A1A"/>
          <w:sz w:val="36"/>
          <w:szCs w:val="36"/>
        </w:rPr>
        <w:t xml:space="preserve">La Botiga, el primer programa de garantia alimentària on les persones </w:t>
      </w:r>
      <w:r>
        <w:rPr>
          <w:rFonts w:ascii="Arial" w:hAnsi="Arial" w:cs="Arial"/>
          <w:b/>
          <w:color w:val="1A1A1A"/>
          <w:sz w:val="36"/>
          <w:szCs w:val="36"/>
        </w:rPr>
        <w:t>que reben l’ajut són</w:t>
      </w:r>
      <w:r w:rsidR="00D6194E" w:rsidRPr="007F2A96">
        <w:rPr>
          <w:rFonts w:ascii="Arial" w:hAnsi="Arial" w:cs="Arial"/>
          <w:b/>
          <w:color w:val="1A1A1A"/>
          <w:sz w:val="36"/>
          <w:szCs w:val="36"/>
        </w:rPr>
        <w:t xml:space="preserve"> alhora cogestores del projecte</w:t>
      </w:r>
    </w:p>
    <w:p w:rsidR="00D6194E" w:rsidRPr="007F2A96" w:rsidRDefault="00D6194E" w:rsidP="00D6194E">
      <w:pPr>
        <w:rPr>
          <w:rFonts w:ascii="Arial" w:hAnsi="Arial" w:cs="Arial"/>
          <w:b/>
          <w:color w:val="1A1A1A"/>
          <w:sz w:val="36"/>
          <w:szCs w:val="36"/>
        </w:rPr>
      </w:pPr>
    </w:p>
    <w:p w:rsidR="00D54154" w:rsidRDefault="00D54154" w:rsidP="00D6194E">
      <w:pPr>
        <w:jc w:val="both"/>
        <w:rPr>
          <w:rFonts w:ascii="Arial" w:hAnsi="Arial" w:cs="Arial"/>
          <w:b/>
          <w:color w:val="1A1A1A"/>
        </w:rPr>
      </w:pPr>
      <w:r w:rsidRPr="00D54154">
        <w:rPr>
          <w:rFonts w:ascii="Arial" w:hAnsi="Arial" w:cs="Arial"/>
          <w:b/>
          <w:color w:val="1A1A1A"/>
        </w:rPr>
        <w:t xml:space="preserve">La Botiga es presenta </w:t>
      </w:r>
      <w:r w:rsidR="002F1ACC">
        <w:rPr>
          <w:rFonts w:ascii="Arial" w:hAnsi="Arial" w:cs="Arial"/>
          <w:b/>
          <w:color w:val="1A1A1A"/>
        </w:rPr>
        <w:t xml:space="preserve">durant la </w:t>
      </w:r>
      <w:r w:rsidRPr="00D54154">
        <w:rPr>
          <w:rFonts w:ascii="Arial" w:hAnsi="Arial" w:cs="Arial"/>
          <w:b/>
          <w:color w:val="1A1A1A"/>
        </w:rPr>
        <w:t>Setmana Ciutadana de l’Alimentació Sostenible, perquè fomentar</w:t>
      </w:r>
      <w:r>
        <w:rPr>
          <w:rFonts w:ascii="Arial" w:hAnsi="Arial" w:cs="Arial"/>
          <w:b/>
          <w:color w:val="1A1A1A"/>
        </w:rPr>
        <w:t>-la és també un altre</w:t>
      </w:r>
      <w:r w:rsidRPr="00D54154">
        <w:rPr>
          <w:rFonts w:ascii="Arial" w:hAnsi="Arial" w:cs="Arial"/>
          <w:b/>
          <w:color w:val="1A1A1A"/>
        </w:rPr>
        <w:t xml:space="preserve"> dels seus principals objectius.  </w:t>
      </w:r>
      <w:r>
        <w:rPr>
          <w:rFonts w:ascii="Arial" w:hAnsi="Arial" w:cs="Arial"/>
          <w:b/>
          <w:color w:val="1A1A1A"/>
        </w:rPr>
        <w:t>A més de les vies de s</w:t>
      </w:r>
      <w:r w:rsidRPr="00D54154">
        <w:rPr>
          <w:rFonts w:ascii="Arial" w:hAnsi="Arial" w:cs="Arial"/>
          <w:b/>
          <w:color w:val="1A1A1A"/>
        </w:rPr>
        <w:t xml:space="preserve">ubministrament </w:t>
      </w:r>
      <w:r>
        <w:rPr>
          <w:rFonts w:ascii="Arial" w:hAnsi="Arial" w:cs="Arial"/>
          <w:b/>
          <w:color w:val="1A1A1A"/>
        </w:rPr>
        <w:t>tradicionals, es proveeix</w:t>
      </w:r>
      <w:r w:rsidRPr="00D54154">
        <w:rPr>
          <w:rFonts w:ascii="Arial" w:hAnsi="Arial" w:cs="Arial"/>
          <w:b/>
          <w:color w:val="1A1A1A"/>
        </w:rPr>
        <w:t xml:space="preserve"> de </w:t>
      </w:r>
      <w:r w:rsidR="00027841" w:rsidRPr="00D54154">
        <w:rPr>
          <w:rFonts w:ascii="Arial" w:hAnsi="Arial" w:cs="Arial"/>
          <w:b/>
          <w:color w:val="1A1A1A"/>
        </w:rPr>
        <w:t>fruites i verdu</w:t>
      </w:r>
      <w:r>
        <w:rPr>
          <w:rFonts w:ascii="Arial" w:hAnsi="Arial" w:cs="Arial"/>
          <w:b/>
          <w:color w:val="1A1A1A"/>
        </w:rPr>
        <w:t>r</w:t>
      </w:r>
      <w:r w:rsidR="00027841" w:rsidRPr="00D54154">
        <w:rPr>
          <w:rFonts w:ascii="Arial" w:hAnsi="Arial" w:cs="Arial"/>
          <w:b/>
          <w:color w:val="1A1A1A"/>
        </w:rPr>
        <w:t xml:space="preserve">es i d’altres </w:t>
      </w:r>
      <w:r w:rsidR="00D6194E" w:rsidRPr="00D54154">
        <w:rPr>
          <w:rFonts w:ascii="Arial" w:hAnsi="Arial" w:cs="Arial"/>
          <w:b/>
          <w:color w:val="1A1A1A"/>
        </w:rPr>
        <w:t>productes de proximitat del Parc Agrari del Baix Llobregat i del comerç</w:t>
      </w:r>
      <w:r>
        <w:rPr>
          <w:rFonts w:ascii="Arial" w:hAnsi="Arial" w:cs="Arial"/>
          <w:b/>
          <w:color w:val="1A1A1A"/>
        </w:rPr>
        <w:t xml:space="preserve"> local. També promou el reaprofitament alimentari i</w:t>
      </w:r>
      <w:r w:rsidR="00D6194E" w:rsidRPr="00D54154">
        <w:rPr>
          <w:rFonts w:ascii="Arial" w:hAnsi="Arial" w:cs="Arial"/>
          <w:b/>
          <w:color w:val="1A1A1A"/>
        </w:rPr>
        <w:t xml:space="preserve"> </w:t>
      </w:r>
      <w:r>
        <w:rPr>
          <w:rFonts w:ascii="Arial" w:hAnsi="Arial" w:cs="Arial"/>
          <w:b/>
          <w:color w:val="1A1A1A"/>
        </w:rPr>
        <w:t>treballa per minimitzar els residus</w:t>
      </w:r>
      <w:r w:rsidR="002F1ACC">
        <w:rPr>
          <w:rFonts w:ascii="Arial" w:hAnsi="Arial" w:cs="Arial"/>
          <w:b/>
          <w:color w:val="1A1A1A"/>
        </w:rPr>
        <w:t xml:space="preserve">. </w:t>
      </w:r>
    </w:p>
    <w:p w:rsidR="002F1ACC" w:rsidRDefault="002F1ACC" w:rsidP="00D6194E">
      <w:pPr>
        <w:jc w:val="both"/>
        <w:rPr>
          <w:rFonts w:ascii="Arial" w:hAnsi="Arial" w:cs="Arial"/>
          <w:b/>
          <w:color w:val="1A1A1A"/>
        </w:rPr>
      </w:pPr>
    </w:p>
    <w:p w:rsidR="002F1ACC" w:rsidRDefault="00142D3E" w:rsidP="00E5102E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Al Prat </w:t>
      </w:r>
      <w:r w:rsidR="002F1ACC">
        <w:rPr>
          <w:rFonts w:ascii="Arial" w:hAnsi="Arial" w:cs="Arial"/>
          <w:color w:val="1A1A1A"/>
        </w:rPr>
        <w:t xml:space="preserve">es presenta demà, dijous 14 d’octubre, </w:t>
      </w:r>
      <w:r w:rsidR="004C4CCE">
        <w:rPr>
          <w:rFonts w:ascii="Arial" w:hAnsi="Arial" w:cs="Arial"/>
          <w:color w:val="1A1A1A"/>
        </w:rPr>
        <w:t>La Botiga, un projecte d’innovació social que, a partir d’un servei de garantia alimentària, treballa l’apoderament de les persones que en fan ús implicant-les en la pròpia gestió de l’espai, en base als principis de</w:t>
      </w:r>
      <w:r w:rsidR="00211887">
        <w:rPr>
          <w:rFonts w:ascii="Arial" w:hAnsi="Arial" w:cs="Arial"/>
          <w:color w:val="1A1A1A"/>
        </w:rPr>
        <w:t>l cooperativisme i</w:t>
      </w:r>
      <w:r w:rsidR="004C4CCE">
        <w:rPr>
          <w:rFonts w:ascii="Arial" w:hAnsi="Arial" w:cs="Arial"/>
          <w:color w:val="1A1A1A"/>
        </w:rPr>
        <w:t xml:space="preserve"> l’economia social</w:t>
      </w:r>
      <w:r w:rsidR="002F1ACC">
        <w:rPr>
          <w:rFonts w:ascii="Arial" w:hAnsi="Arial" w:cs="Arial"/>
          <w:color w:val="1A1A1A"/>
        </w:rPr>
        <w:t xml:space="preserve">. </w:t>
      </w:r>
    </w:p>
    <w:p w:rsidR="002F1ACC" w:rsidRDefault="002F1ACC" w:rsidP="00E5102E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211887" w:rsidRDefault="007F2A96" w:rsidP="00E5102E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7F2A96">
        <w:rPr>
          <w:rFonts w:ascii="Arial" w:hAnsi="Arial" w:cs="Arial"/>
          <w:color w:val="1A1A1A"/>
        </w:rPr>
        <w:t xml:space="preserve">La Botiga es presenta en el marc </w:t>
      </w:r>
      <w:r w:rsidR="009815EA">
        <w:rPr>
          <w:rFonts w:ascii="Arial" w:hAnsi="Arial" w:cs="Arial"/>
          <w:color w:val="1A1A1A"/>
        </w:rPr>
        <w:t xml:space="preserve">de la Setmana </w:t>
      </w:r>
      <w:r w:rsidRPr="007F2A96">
        <w:rPr>
          <w:rFonts w:ascii="Arial" w:hAnsi="Arial" w:cs="Arial"/>
          <w:color w:val="1A1A1A"/>
        </w:rPr>
        <w:t>Ciutada</w:t>
      </w:r>
      <w:r w:rsidR="002F1ACC">
        <w:rPr>
          <w:rFonts w:ascii="Arial" w:hAnsi="Arial" w:cs="Arial"/>
          <w:color w:val="1A1A1A"/>
        </w:rPr>
        <w:t xml:space="preserve">na de l’Alimentació Sostenible. </w:t>
      </w:r>
      <w:r w:rsidRPr="007F2A96">
        <w:rPr>
          <w:rFonts w:ascii="Arial" w:hAnsi="Arial" w:cs="Arial"/>
          <w:color w:val="1A1A1A"/>
        </w:rPr>
        <w:t xml:space="preserve">El projecte </w:t>
      </w:r>
      <w:r w:rsidR="004C4CCE" w:rsidRPr="007F2A96">
        <w:rPr>
          <w:rFonts w:ascii="Arial" w:hAnsi="Arial" w:cs="Arial"/>
          <w:color w:val="1A1A1A"/>
        </w:rPr>
        <w:t>va més</w:t>
      </w:r>
      <w:r w:rsidR="004C4CCE">
        <w:rPr>
          <w:rFonts w:ascii="Arial" w:hAnsi="Arial" w:cs="Arial"/>
          <w:color w:val="1A1A1A"/>
        </w:rPr>
        <w:t xml:space="preserve"> enllà dels programes d’ajuda alimentària tradicionals i, </w:t>
      </w:r>
      <w:r w:rsidR="00211887">
        <w:rPr>
          <w:rFonts w:ascii="Arial" w:hAnsi="Arial" w:cs="Arial"/>
          <w:color w:val="1A1A1A"/>
        </w:rPr>
        <w:t>entre les seves fonts de subminis</w:t>
      </w:r>
      <w:r>
        <w:rPr>
          <w:rFonts w:ascii="Arial" w:hAnsi="Arial" w:cs="Arial"/>
          <w:color w:val="1A1A1A"/>
        </w:rPr>
        <w:t>trament, també estan</w:t>
      </w:r>
      <w:r w:rsidR="004C4CCE">
        <w:rPr>
          <w:rFonts w:ascii="Arial" w:hAnsi="Arial" w:cs="Arial"/>
          <w:color w:val="1A1A1A"/>
        </w:rPr>
        <w:t xml:space="preserve"> els productes </w:t>
      </w:r>
      <w:r w:rsidR="002F1ACC">
        <w:rPr>
          <w:rFonts w:ascii="Arial" w:hAnsi="Arial" w:cs="Arial"/>
          <w:color w:val="1A1A1A"/>
        </w:rPr>
        <w:t>de proximitat d</w:t>
      </w:r>
      <w:r w:rsidR="004C4CCE">
        <w:rPr>
          <w:rFonts w:ascii="Arial" w:hAnsi="Arial" w:cs="Arial"/>
          <w:color w:val="1A1A1A"/>
        </w:rPr>
        <w:t>el Parc Agrari i de l’econom</w:t>
      </w:r>
      <w:r w:rsidR="00211887">
        <w:rPr>
          <w:rFonts w:ascii="Arial" w:hAnsi="Arial" w:cs="Arial"/>
          <w:color w:val="1A1A1A"/>
        </w:rPr>
        <w:t xml:space="preserve">ia i el comerç local. </w:t>
      </w:r>
    </w:p>
    <w:p w:rsidR="001658A9" w:rsidRDefault="001658A9" w:rsidP="00E5102E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86CA4" w:rsidRDefault="002F1ACC" w:rsidP="00A86CA4">
      <w:pPr>
        <w:autoSpaceDE w:val="0"/>
        <w:autoSpaceDN w:val="0"/>
        <w:adjustRightInd w:val="0"/>
        <w:jc w:val="both"/>
        <w:rPr>
          <w:lang w:val="es-ES"/>
        </w:rPr>
      </w:pPr>
      <w:r>
        <w:rPr>
          <w:rFonts w:ascii="Arial" w:hAnsi="Arial" w:cs="Arial"/>
          <w:color w:val="1A1A1A"/>
        </w:rPr>
        <w:t>Com a experiència pionera</w:t>
      </w:r>
      <w:r w:rsidR="00211887">
        <w:rPr>
          <w:rFonts w:ascii="Arial" w:hAnsi="Arial" w:cs="Arial"/>
          <w:color w:val="1A1A1A"/>
        </w:rPr>
        <w:t xml:space="preserve"> a Catalunya i </w:t>
      </w:r>
      <w:r>
        <w:rPr>
          <w:rFonts w:ascii="Arial" w:hAnsi="Arial" w:cs="Arial"/>
          <w:color w:val="1A1A1A"/>
        </w:rPr>
        <w:t xml:space="preserve">a l’Estat, està sent </w:t>
      </w:r>
      <w:r w:rsidR="009815EA">
        <w:rPr>
          <w:rFonts w:ascii="Arial" w:hAnsi="Arial" w:cs="Arial"/>
          <w:color w:val="1A1A1A"/>
        </w:rPr>
        <w:t xml:space="preserve">analitzada per un </w:t>
      </w:r>
      <w:r w:rsidR="00962CD2" w:rsidRPr="00826D96">
        <w:rPr>
          <w:rFonts w:ascii="Arial" w:hAnsi="Arial" w:cs="Arial"/>
          <w:color w:val="1A1A1A"/>
        </w:rPr>
        <w:t>equip</w:t>
      </w:r>
      <w:r w:rsidR="00962CD2">
        <w:rPr>
          <w:rFonts w:ascii="Arial" w:hAnsi="Arial" w:cs="Arial"/>
          <w:color w:val="1A1A1A"/>
        </w:rPr>
        <w:t xml:space="preserve"> </w:t>
      </w:r>
      <w:r w:rsidR="001D33B0">
        <w:rPr>
          <w:rFonts w:ascii="Arial" w:hAnsi="Arial" w:cs="Arial"/>
          <w:color w:val="1A1A1A"/>
        </w:rPr>
        <w:t>interdisciplinar</w:t>
      </w:r>
      <w:r w:rsidR="00211887">
        <w:rPr>
          <w:rFonts w:ascii="Arial" w:hAnsi="Arial" w:cs="Arial"/>
          <w:color w:val="1A1A1A"/>
        </w:rPr>
        <w:t xml:space="preserve"> liderat per la </w:t>
      </w:r>
      <w:r>
        <w:rPr>
          <w:rFonts w:ascii="Arial" w:hAnsi="Arial" w:cs="Arial"/>
          <w:color w:val="1A1A1A"/>
        </w:rPr>
        <w:t>UAB, en què hi participen</w:t>
      </w:r>
      <w:r w:rsidR="00211887">
        <w:rPr>
          <w:rFonts w:ascii="Arial" w:hAnsi="Arial" w:cs="Arial"/>
          <w:color w:val="1A1A1A"/>
        </w:rPr>
        <w:t xml:space="preserve"> estudiants </w:t>
      </w:r>
      <w:r w:rsidR="00A86CA4">
        <w:rPr>
          <w:rFonts w:ascii="Arial" w:hAnsi="Arial" w:cs="Arial"/>
          <w:iCs/>
        </w:rPr>
        <w:t xml:space="preserve">de </w:t>
      </w:r>
      <w:r w:rsidR="00A86CA4" w:rsidRPr="00A80E07">
        <w:rPr>
          <w:rFonts w:ascii="Arial" w:hAnsi="Arial" w:cs="Arial"/>
          <w:iCs/>
        </w:rPr>
        <w:t>la Universitat Europea</w:t>
      </w:r>
      <w:r w:rsidR="00A86CA4">
        <w:rPr>
          <w:rFonts w:ascii="Arial" w:hAnsi="Arial" w:cs="Arial"/>
          <w:i/>
          <w:iCs/>
          <w:color w:val="FF0000"/>
        </w:rPr>
        <w:t xml:space="preserve"> </w:t>
      </w:r>
      <w:r w:rsidR="00A86CA4" w:rsidRPr="00A80E07">
        <w:rPr>
          <w:rFonts w:ascii="Arial" w:hAnsi="Arial" w:cs="Arial"/>
          <w:i/>
          <w:iCs/>
        </w:rPr>
        <w:t>ECIU University</w:t>
      </w:r>
      <w:r w:rsidR="00A86CA4">
        <w:rPr>
          <w:rFonts w:ascii="Arial" w:hAnsi="Arial" w:cs="Arial"/>
          <w:i/>
          <w:iCs/>
          <w:color w:val="FF0000"/>
        </w:rPr>
        <w:t xml:space="preserve"> </w:t>
      </w:r>
      <w:r w:rsidR="00A86CA4" w:rsidRPr="00A80E07">
        <w:rPr>
          <w:rFonts w:ascii="Arial" w:hAnsi="Arial" w:cs="Arial"/>
          <w:color w:val="1A1A1A"/>
        </w:rPr>
        <w:t>(</w:t>
      </w:r>
      <w:hyperlink r:id="rId8" w:history="1">
        <w:r w:rsidR="00A86CA4" w:rsidRPr="00A80E07">
          <w:rPr>
            <w:rFonts w:ascii="Arial" w:hAnsi="Arial" w:cs="Arial"/>
            <w:color w:val="1A1A1A"/>
          </w:rPr>
          <w:t>www.eciu.org</w:t>
        </w:r>
      </w:hyperlink>
      <w:r w:rsidR="00A86CA4">
        <w:rPr>
          <w:rFonts w:ascii="Arial" w:hAnsi="Arial" w:cs="Arial"/>
          <w:color w:val="1A1A1A"/>
        </w:rPr>
        <w:t>).</w:t>
      </w:r>
    </w:p>
    <w:p w:rsidR="00A86CA4" w:rsidRDefault="00A86CA4" w:rsidP="00E5102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42D3E" w:rsidRDefault="00AF700F" w:rsidP="00E5102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Botiga és un programa municipal, per a la gestió del qual l’Ajuntament del Prat col·labora amb diverses organitzacions socials, a més d’involu</w:t>
      </w:r>
      <w:r w:rsidR="002F1ACC">
        <w:rPr>
          <w:rFonts w:ascii="Arial" w:hAnsi="Arial" w:cs="Arial"/>
        </w:rPr>
        <w:t>crar-ne les pròpies persones usuàries</w:t>
      </w:r>
      <w:r>
        <w:rPr>
          <w:rFonts w:ascii="Arial" w:hAnsi="Arial" w:cs="Arial"/>
        </w:rPr>
        <w:t>. La gestió del programa municipal està delegada a l’</w:t>
      </w:r>
      <w:r w:rsidRPr="00F52E6B">
        <w:rPr>
          <w:rFonts w:ascii="Arial" w:hAnsi="Arial" w:cs="Arial"/>
        </w:rPr>
        <w:t>Associ</w:t>
      </w:r>
      <w:r>
        <w:rPr>
          <w:rFonts w:ascii="Arial" w:hAnsi="Arial" w:cs="Arial"/>
        </w:rPr>
        <w:t>ació Benest</w:t>
      </w:r>
      <w:r w:rsidR="009815EA">
        <w:rPr>
          <w:rFonts w:ascii="Arial" w:hAnsi="Arial" w:cs="Arial"/>
        </w:rPr>
        <w:t>ar i Desenvolupament (ABD) i compta, a més, a</w:t>
      </w:r>
      <w:r>
        <w:rPr>
          <w:rFonts w:ascii="Arial" w:hAnsi="Arial" w:cs="Arial"/>
        </w:rPr>
        <w:t>mb la col·laboració de la Fundació Espigoladors</w:t>
      </w:r>
      <w:r w:rsidR="002F1AC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El programa està finançat per l’Ajuntament del Prat, amb el suport de l’AMB. </w:t>
      </w:r>
    </w:p>
    <w:p w:rsidR="002F1ACC" w:rsidRDefault="002F1ACC" w:rsidP="00E5102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F1ACC" w:rsidRDefault="002F1ACC" w:rsidP="00E5102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presentació institucional tindrà lloc demà dijous 14 d’octubre a les 18.30 h a La Botiga (C/Germà Estruch, 13). Després dels parlaments, es faran portes obertes. Prèviament, a les 12 h, també es farà una visita de premsa per als mitj</w:t>
      </w:r>
      <w:r w:rsidR="0046611B">
        <w:rPr>
          <w:rFonts w:ascii="Arial" w:hAnsi="Arial" w:cs="Arial"/>
        </w:rPr>
        <w:t>ans de comunicació interessats en</w:t>
      </w:r>
      <w:r>
        <w:rPr>
          <w:rFonts w:ascii="Arial" w:hAnsi="Arial" w:cs="Arial"/>
        </w:rPr>
        <w:t xml:space="preserve"> conèixer el projecte. </w:t>
      </w:r>
    </w:p>
    <w:p w:rsidR="002F1ACC" w:rsidRDefault="002F1ACC" w:rsidP="00E5102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2F1ACC" w:rsidTr="002F1ACC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CC" w:rsidRPr="005D3E19" w:rsidRDefault="002F1ACC" w:rsidP="002F1ACC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2F1ACC" w:rsidTr="002F1ACC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CC" w:rsidRPr="00E44272" w:rsidRDefault="002F1ACC" w:rsidP="002F1ACC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CC" w:rsidRPr="005D3E19" w:rsidRDefault="002F1ACC" w:rsidP="002F1ACC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Presentació de La Botiga</w:t>
            </w:r>
          </w:p>
        </w:tc>
      </w:tr>
      <w:tr w:rsidR="002F1ACC" w:rsidTr="002F1ACC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CC" w:rsidRPr="00E44272" w:rsidRDefault="002F1ACC" w:rsidP="002F1ACC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CC" w:rsidRPr="00BA533F" w:rsidRDefault="002F1ACC" w:rsidP="002F1ACC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Dijous, 14 d’octubre  </w:t>
            </w:r>
          </w:p>
        </w:tc>
      </w:tr>
      <w:tr w:rsidR="002F1ACC" w:rsidTr="002F1ACC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CC" w:rsidRPr="00E44272" w:rsidRDefault="002F1ACC" w:rsidP="002F1ACC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CC" w:rsidRPr="00BA533F" w:rsidRDefault="002F1ACC" w:rsidP="002F1ACC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 h (visita per a mitjans de comunicació) / 18.30 h (acte institucional seguit de portes obertes) </w:t>
            </w:r>
          </w:p>
        </w:tc>
      </w:tr>
      <w:tr w:rsidR="002F1ACC" w:rsidTr="002F1ACC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CC" w:rsidRPr="00E44272" w:rsidRDefault="002F1ACC" w:rsidP="002F1ACC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CC" w:rsidRDefault="002F1ACC" w:rsidP="002F1ACC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2F1ACC" w:rsidTr="002F1ACC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CC" w:rsidRPr="00E44272" w:rsidRDefault="002F1ACC" w:rsidP="002F1ACC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CC" w:rsidRPr="002F1ACC" w:rsidRDefault="002F1ACC" w:rsidP="002F1AC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</w:rPr>
              <w:t>La Botiga (C/</w:t>
            </w:r>
            <w:r>
              <w:rPr>
                <w:rFonts w:ascii="Arial" w:hAnsi="Arial" w:cs="Arial"/>
                <w:lang w:val="es-ES"/>
              </w:rPr>
              <w:t>Germà Estruch, 13)</w:t>
            </w:r>
          </w:p>
        </w:tc>
      </w:tr>
      <w:tr w:rsidR="002F1ACC" w:rsidTr="002F1ACC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CC" w:rsidRDefault="002F1ACC" w:rsidP="002F1ACC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CC" w:rsidRPr="00A85AF7" w:rsidRDefault="002F1ACC" w:rsidP="002F1ACC">
            <w:pPr>
              <w:jc w:val="both"/>
              <w:rPr>
                <w:rFonts w:ascii="Arial" w:hAnsi="Arial" w:cs="Arial"/>
              </w:rPr>
            </w:pPr>
          </w:p>
        </w:tc>
      </w:tr>
      <w:tr w:rsidR="002F1ACC" w:rsidTr="002F1ACC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CC" w:rsidRDefault="002F1ACC" w:rsidP="002F1ACC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ACC" w:rsidRDefault="002F1ACC" w:rsidP="002F1ACC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:rsidR="002F1ACC" w:rsidRDefault="002F1ACC" w:rsidP="00E5102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F1ACC" w:rsidRDefault="002F1ACC" w:rsidP="00E5102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F1ACC" w:rsidRDefault="002F1ACC" w:rsidP="00E5102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F1ACC" w:rsidRDefault="002F1ACC" w:rsidP="00E5102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F700F" w:rsidRDefault="00AF700F" w:rsidP="00E5102E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650379" w:rsidRDefault="00321A67" w:rsidP="00037251">
      <w:pPr>
        <w:jc w:val="both"/>
        <w:rPr>
          <w:rFonts w:ascii="Verdana" w:eastAsia="Verdana" w:hAnsi="Verdana" w:cs="Arial"/>
          <w:b/>
          <w:color w:val="365F91" w:themeColor="accent1" w:themeShade="BF"/>
          <w:sz w:val="20"/>
          <w:szCs w:val="20"/>
          <w:u w:val="single"/>
        </w:rPr>
      </w:pPr>
      <w:r>
        <w:rPr>
          <w:rFonts w:ascii="Verdana" w:eastAsia="Verdana" w:hAnsi="Verdana" w:cs="Arial"/>
          <w:b/>
          <w:color w:val="365F91" w:themeColor="accent1" w:themeShade="BF"/>
          <w:sz w:val="20"/>
          <w:szCs w:val="20"/>
          <w:u w:val="single"/>
        </w:rPr>
        <w:t xml:space="preserve"> </w:t>
      </w:r>
    </w:p>
    <w:sectPr w:rsidR="00650379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ACC" w:rsidRDefault="002F1ACC" w:rsidP="00750EC7">
      <w:r>
        <w:separator/>
      </w:r>
    </w:p>
  </w:endnote>
  <w:endnote w:type="continuationSeparator" w:id="0">
    <w:p w:rsidR="002F1ACC" w:rsidRDefault="002F1ACC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ACC" w:rsidRDefault="002F1ACC" w:rsidP="00750EC7">
      <w:r>
        <w:separator/>
      </w:r>
    </w:p>
  </w:footnote>
  <w:footnote w:type="continuationSeparator" w:id="0">
    <w:p w:rsidR="002F1ACC" w:rsidRDefault="002F1ACC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ACC" w:rsidRDefault="002F1AC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1ACC" w:rsidRDefault="002F1AC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F45AA"/>
    <w:multiLevelType w:val="hybridMultilevel"/>
    <w:tmpl w:val="BF8E26F8"/>
    <w:lvl w:ilvl="0" w:tplc="E53235EA">
      <w:numFmt w:val="bullet"/>
      <w:lvlText w:val="-"/>
      <w:lvlJc w:val="left"/>
      <w:pPr>
        <w:ind w:left="717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2ABD61D1"/>
    <w:multiLevelType w:val="hybridMultilevel"/>
    <w:tmpl w:val="A2B44C92"/>
    <w:lvl w:ilvl="0" w:tplc="C97E8018">
      <w:start w:val="5"/>
      <w:numFmt w:val="bullet"/>
      <w:lvlText w:val="-"/>
      <w:lvlJc w:val="left"/>
      <w:pPr>
        <w:ind w:left="1434" w:hanging="360"/>
      </w:pPr>
      <w:rPr>
        <w:rFonts w:ascii="Verdana" w:eastAsiaTheme="minorHAnsi" w:hAnsi="Verdana" w:cstheme="minorBidi" w:hint="default"/>
      </w:rPr>
    </w:lvl>
    <w:lvl w:ilvl="1" w:tplc="040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35000CD2"/>
    <w:multiLevelType w:val="hybridMultilevel"/>
    <w:tmpl w:val="0E94AA5E"/>
    <w:lvl w:ilvl="0" w:tplc="C75E1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A23A3"/>
    <w:multiLevelType w:val="hybridMultilevel"/>
    <w:tmpl w:val="F6BC3F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71393"/>
    <w:multiLevelType w:val="hybridMultilevel"/>
    <w:tmpl w:val="6398379A"/>
    <w:lvl w:ilvl="0" w:tplc="7480C03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b/>
        <w:i w:val="0"/>
        <w:color w:val="365F91" w:themeColor="accent1" w:themeShade="BF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5205CE"/>
    <w:multiLevelType w:val="hybridMultilevel"/>
    <w:tmpl w:val="D0583E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27841"/>
    <w:rsid w:val="000330AE"/>
    <w:rsid w:val="000333E4"/>
    <w:rsid w:val="0003646B"/>
    <w:rsid w:val="00037251"/>
    <w:rsid w:val="00040D37"/>
    <w:rsid w:val="00042CDD"/>
    <w:rsid w:val="00054C32"/>
    <w:rsid w:val="00056147"/>
    <w:rsid w:val="00057AE3"/>
    <w:rsid w:val="00057DA2"/>
    <w:rsid w:val="0008329F"/>
    <w:rsid w:val="0009512A"/>
    <w:rsid w:val="000A10BA"/>
    <w:rsid w:val="000A41C1"/>
    <w:rsid w:val="000B0003"/>
    <w:rsid w:val="000B751F"/>
    <w:rsid w:val="000C48A9"/>
    <w:rsid w:val="000F0B46"/>
    <w:rsid w:val="001155C0"/>
    <w:rsid w:val="001216D3"/>
    <w:rsid w:val="001257BA"/>
    <w:rsid w:val="00126207"/>
    <w:rsid w:val="00130D9A"/>
    <w:rsid w:val="00142D3E"/>
    <w:rsid w:val="00151F21"/>
    <w:rsid w:val="00162F39"/>
    <w:rsid w:val="00165231"/>
    <w:rsid w:val="001658A9"/>
    <w:rsid w:val="0016610A"/>
    <w:rsid w:val="0018102B"/>
    <w:rsid w:val="00193A95"/>
    <w:rsid w:val="001B692C"/>
    <w:rsid w:val="001D33B0"/>
    <w:rsid w:val="001F20A9"/>
    <w:rsid w:val="00202F32"/>
    <w:rsid w:val="00203C08"/>
    <w:rsid w:val="00211887"/>
    <w:rsid w:val="0022495B"/>
    <w:rsid w:val="002301EE"/>
    <w:rsid w:val="002301F0"/>
    <w:rsid w:val="00252D3A"/>
    <w:rsid w:val="002551B9"/>
    <w:rsid w:val="00256436"/>
    <w:rsid w:val="00263995"/>
    <w:rsid w:val="00266F72"/>
    <w:rsid w:val="00282F1A"/>
    <w:rsid w:val="00297EB5"/>
    <w:rsid w:val="002A6005"/>
    <w:rsid w:val="002B4D67"/>
    <w:rsid w:val="002C48F3"/>
    <w:rsid w:val="002F1ACC"/>
    <w:rsid w:val="002F6AF6"/>
    <w:rsid w:val="00301090"/>
    <w:rsid w:val="0031676D"/>
    <w:rsid w:val="0032192E"/>
    <w:rsid w:val="00321A67"/>
    <w:rsid w:val="0032713B"/>
    <w:rsid w:val="00333123"/>
    <w:rsid w:val="003417D7"/>
    <w:rsid w:val="00341E2B"/>
    <w:rsid w:val="00361C83"/>
    <w:rsid w:val="00384CB2"/>
    <w:rsid w:val="00386545"/>
    <w:rsid w:val="00394122"/>
    <w:rsid w:val="00396C0F"/>
    <w:rsid w:val="003A54D1"/>
    <w:rsid w:val="003B46AA"/>
    <w:rsid w:val="003C34C1"/>
    <w:rsid w:val="003F6168"/>
    <w:rsid w:val="00413E57"/>
    <w:rsid w:val="004142C4"/>
    <w:rsid w:val="00425141"/>
    <w:rsid w:val="00443432"/>
    <w:rsid w:val="0046611B"/>
    <w:rsid w:val="004674C8"/>
    <w:rsid w:val="004779BC"/>
    <w:rsid w:val="00494E5E"/>
    <w:rsid w:val="004C4CCE"/>
    <w:rsid w:val="004D25CC"/>
    <w:rsid w:val="004D43B2"/>
    <w:rsid w:val="004D5E7F"/>
    <w:rsid w:val="004E1336"/>
    <w:rsid w:val="004E5C37"/>
    <w:rsid w:val="005147B5"/>
    <w:rsid w:val="00555D63"/>
    <w:rsid w:val="00562D3D"/>
    <w:rsid w:val="00574603"/>
    <w:rsid w:val="005800B0"/>
    <w:rsid w:val="00580472"/>
    <w:rsid w:val="005A2FB3"/>
    <w:rsid w:val="005C6E8B"/>
    <w:rsid w:val="005D32D1"/>
    <w:rsid w:val="005E38B5"/>
    <w:rsid w:val="005F1CAA"/>
    <w:rsid w:val="005F37D6"/>
    <w:rsid w:val="00650379"/>
    <w:rsid w:val="00650607"/>
    <w:rsid w:val="00671C53"/>
    <w:rsid w:val="006848F3"/>
    <w:rsid w:val="00696845"/>
    <w:rsid w:val="006A55D8"/>
    <w:rsid w:val="006C4745"/>
    <w:rsid w:val="006D0502"/>
    <w:rsid w:val="006D2732"/>
    <w:rsid w:val="006E116C"/>
    <w:rsid w:val="006E4EA9"/>
    <w:rsid w:val="006E75E0"/>
    <w:rsid w:val="006F7800"/>
    <w:rsid w:val="0070228A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7F2A96"/>
    <w:rsid w:val="00814EB6"/>
    <w:rsid w:val="0082076A"/>
    <w:rsid w:val="008213FA"/>
    <w:rsid w:val="00826D96"/>
    <w:rsid w:val="0085092D"/>
    <w:rsid w:val="00851BA5"/>
    <w:rsid w:val="0086478C"/>
    <w:rsid w:val="00877C4E"/>
    <w:rsid w:val="008836C8"/>
    <w:rsid w:val="008C6270"/>
    <w:rsid w:val="008C65F3"/>
    <w:rsid w:val="008D3C1D"/>
    <w:rsid w:val="008F2BDA"/>
    <w:rsid w:val="009069CD"/>
    <w:rsid w:val="00930ADD"/>
    <w:rsid w:val="00931F4F"/>
    <w:rsid w:val="00944BB1"/>
    <w:rsid w:val="00962CD2"/>
    <w:rsid w:val="00966AE6"/>
    <w:rsid w:val="009815EA"/>
    <w:rsid w:val="00996F9B"/>
    <w:rsid w:val="009A5A4C"/>
    <w:rsid w:val="009B3E71"/>
    <w:rsid w:val="009C0491"/>
    <w:rsid w:val="009C7289"/>
    <w:rsid w:val="009D2BA3"/>
    <w:rsid w:val="009E36EB"/>
    <w:rsid w:val="009F61B5"/>
    <w:rsid w:val="00A1197F"/>
    <w:rsid w:val="00A210BC"/>
    <w:rsid w:val="00A2734D"/>
    <w:rsid w:val="00A3083D"/>
    <w:rsid w:val="00A34BEF"/>
    <w:rsid w:val="00A35B2B"/>
    <w:rsid w:val="00A3675B"/>
    <w:rsid w:val="00A37CCA"/>
    <w:rsid w:val="00A659A8"/>
    <w:rsid w:val="00A72EB3"/>
    <w:rsid w:val="00A82709"/>
    <w:rsid w:val="00A85515"/>
    <w:rsid w:val="00A86CA4"/>
    <w:rsid w:val="00AA3EF6"/>
    <w:rsid w:val="00AC427C"/>
    <w:rsid w:val="00AF700F"/>
    <w:rsid w:val="00B05397"/>
    <w:rsid w:val="00B062AC"/>
    <w:rsid w:val="00B0705C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3E64"/>
    <w:rsid w:val="00BA6A0F"/>
    <w:rsid w:val="00BC3CF7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08AC"/>
    <w:rsid w:val="00C948DB"/>
    <w:rsid w:val="00C975B6"/>
    <w:rsid w:val="00CA1301"/>
    <w:rsid w:val="00CA66B0"/>
    <w:rsid w:val="00CB0A27"/>
    <w:rsid w:val="00CC652F"/>
    <w:rsid w:val="00CC704D"/>
    <w:rsid w:val="00CD0E12"/>
    <w:rsid w:val="00CD1B91"/>
    <w:rsid w:val="00CD5576"/>
    <w:rsid w:val="00CE2D67"/>
    <w:rsid w:val="00CE7C48"/>
    <w:rsid w:val="00CF6269"/>
    <w:rsid w:val="00CF7281"/>
    <w:rsid w:val="00D028CD"/>
    <w:rsid w:val="00D042CE"/>
    <w:rsid w:val="00D1259B"/>
    <w:rsid w:val="00D20181"/>
    <w:rsid w:val="00D25CC0"/>
    <w:rsid w:val="00D54154"/>
    <w:rsid w:val="00D56D2D"/>
    <w:rsid w:val="00D57E8C"/>
    <w:rsid w:val="00D6194E"/>
    <w:rsid w:val="00D67FAD"/>
    <w:rsid w:val="00D8197B"/>
    <w:rsid w:val="00DB1C2B"/>
    <w:rsid w:val="00DB7A38"/>
    <w:rsid w:val="00DD454A"/>
    <w:rsid w:val="00DE20AA"/>
    <w:rsid w:val="00DE4A16"/>
    <w:rsid w:val="00E12A60"/>
    <w:rsid w:val="00E345DE"/>
    <w:rsid w:val="00E5102E"/>
    <w:rsid w:val="00E53F5B"/>
    <w:rsid w:val="00E57215"/>
    <w:rsid w:val="00E70D20"/>
    <w:rsid w:val="00E875EF"/>
    <w:rsid w:val="00E954EA"/>
    <w:rsid w:val="00EA3DF6"/>
    <w:rsid w:val="00ED28BC"/>
    <w:rsid w:val="00EE3FBB"/>
    <w:rsid w:val="00EF471C"/>
    <w:rsid w:val="00EF5FA1"/>
    <w:rsid w:val="00F1759F"/>
    <w:rsid w:val="00F23930"/>
    <w:rsid w:val="00F43356"/>
    <w:rsid w:val="00F478E0"/>
    <w:rsid w:val="00F52E6B"/>
    <w:rsid w:val="00F53533"/>
    <w:rsid w:val="00F57673"/>
    <w:rsid w:val="00F94C35"/>
    <w:rsid w:val="00FA045F"/>
    <w:rsid w:val="00FA4BA7"/>
    <w:rsid w:val="00FA50DC"/>
    <w:rsid w:val="00FA7E0B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aliases w:val="CAPITOL TITOL II,Marta comentaris"/>
    <w:basedOn w:val="Normal"/>
    <w:link w:val="PrrafodelistaCar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PrrafodelistaCar">
    <w:name w:val="Párrafo de lista Car"/>
    <w:aliases w:val="CAPITOL TITOL II Car,Marta comentaris Car"/>
    <w:basedOn w:val="Fuentedeprrafopredeter"/>
    <w:link w:val="Prrafodelista"/>
    <w:uiPriority w:val="34"/>
    <w:locked/>
    <w:rsid w:val="00CF7281"/>
    <w:rPr>
      <w:rFonts w:ascii="Verdana" w:eastAsia="Calibri" w:hAnsi="Verdana"/>
      <w:szCs w:val="22"/>
      <w:lang w:eastAsia="en-US"/>
    </w:rPr>
  </w:style>
  <w:style w:type="character" w:styleId="nfasis">
    <w:name w:val="Emphasis"/>
    <w:basedOn w:val="Fuentedeprrafopredeter"/>
    <w:uiPriority w:val="20"/>
    <w:qFormat/>
    <w:locked/>
    <w:rsid w:val="00D541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protect.cudasvc.com/url?a=http%3a%2f%2fwww.eciu.org&amp;c=E,1,Sk9kqe5XijS8gx25qFFaMr5yN0uEjPaUun0krogIY7NqirxK6QTLkmhzPpyt9kGcirnNZvdw2lCFsPf0alyr6LQik7CEgIKiItJ9x_2eNfgd_FpX&amp;typo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6D2C6-EE0F-407D-B145-C6C74044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366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2596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8</cp:revision>
  <cp:lastPrinted>2018-08-02T07:02:00Z</cp:lastPrinted>
  <dcterms:created xsi:type="dcterms:W3CDTF">2021-10-11T12:37:00Z</dcterms:created>
  <dcterms:modified xsi:type="dcterms:W3CDTF">2021-10-13T10:36:00Z</dcterms:modified>
</cp:coreProperties>
</file>