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D6" w:rsidRDefault="002261D6" w:rsidP="002261D6">
      <w:pPr>
        <w:jc w:val="center"/>
        <w:rPr>
          <w:rFonts w:ascii="Arial" w:hAnsi="Arial" w:cs="Arial"/>
          <w:b/>
          <w:color w:val="1A1A1A"/>
          <w:sz w:val="28"/>
          <w:szCs w:val="28"/>
          <w:u w:val="single"/>
        </w:rPr>
      </w:pPr>
      <w:r>
        <w:rPr>
          <w:rFonts w:ascii="Arial" w:hAnsi="Arial" w:cs="Arial"/>
          <w:b/>
          <w:color w:val="1A1A1A"/>
          <w:sz w:val="28"/>
          <w:szCs w:val="28"/>
          <w:u w:val="single"/>
        </w:rPr>
        <w:t>Convocatòria de premsa, dijous 23</w:t>
      </w:r>
      <w:r w:rsidRPr="009E1EC1">
        <w:rPr>
          <w:rFonts w:ascii="Arial" w:hAnsi="Arial" w:cs="Arial"/>
          <w:b/>
          <w:color w:val="1A1A1A"/>
          <w:sz w:val="28"/>
          <w:szCs w:val="28"/>
          <w:u w:val="single"/>
        </w:rPr>
        <w:t xml:space="preserve"> de setembre</w:t>
      </w:r>
      <w:r>
        <w:rPr>
          <w:rFonts w:ascii="Arial" w:hAnsi="Arial" w:cs="Arial"/>
          <w:b/>
          <w:color w:val="1A1A1A"/>
          <w:sz w:val="28"/>
          <w:szCs w:val="28"/>
          <w:u w:val="single"/>
        </w:rPr>
        <w:t xml:space="preserve">, </w:t>
      </w:r>
      <w:r w:rsidR="00CE3322">
        <w:rPr>
          <w:rFonts w:ascii="Arial" w:hAnsi="Arial" w:cs="Arial"/>
          <w:b/>
          <w:color w:val="1A1A1A"/>
          <w:sz w:val="28"/>
          <w:szCs w:val="28"/>
          <w:u w:val="single"/>
        </w:rPr>
        <w:t>a les 12.30 h</w:t>
      </w:r>
    </w:p>
    <w:p w:rsidR="00CE3322" w:rsidRDefault="00CE3322" w:rsidP="002261D6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2261D6" w:rsidRDefault="002261D6" w:rsidP="002261D6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La vicepresidenta del Parlament Alba Vergés visita la </w:t>
      </w:r>
      <w:r w:rsidR="007E3072">
        <w:rPr>
          <w:rFonts w:ascii="Arial" w:hAnsi="Arial" w:cs="Arial"/>
          <w:b/>
          <w:color w:val="1A1A1A"/>
          <w:sz w:val="36"/>
          <w:szCs w:val="36"/>
        </w:rPr>
        <w:t>Ricarda amb l’alcalde del Prat</w:t>
      </w:r>
    </w:p>
    <w:p w:rsidR="00DB1C2B" w:rsidRDefault="00DB1C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2B25" w:rsidRDefault="00A22B25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80CFD" w:rsidRDefault="002261D6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vicepresidenta primera del Parlament de Catalunya, Alba Vergés, visitarà</w:t>
      </w:r>
      <w:r w:rsidR="00F77064">
        <w:rPr>
          <w:rFonts w:ascii="Arial" w:hAnsi="Arial" w:cs="Arial"/>
          <w:color w:val="1A1A1A"/>
        </w:rPr>
        <w:t xml:space="preserve"> demà, dijous 23 de setembre, l’espai natural protegit de la Ricarda, al Prat de Llobregat. L’acompanyarà l’alcalde de la ciutat, Lluís Mijoler, i personal tècnic del Consorci per a la Protecció i la Gestió dels Espais Naturals del Delta del Llobregat. D’aquesta manera, Vergés respon a la invitació que l’alcalde del Prat, Lluís Mijoler, va fer per carta a principis d’aquest mes de setembre a diferents representants de les institucions catalanes i de l’Estat. </w:t>
      </w:r>
    </w:p>
    <w:p w:rsidR="00B80CFD" w:rsidRDefault="00B80CFD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80CFD" w:rsidRDefault="00F77064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En resposta a aquesta missiva, la vicepresidenta segona del govern espanyol</w:t>
      </w:r>
      <w:r w:rsidR="00A22B25">
        <w:rPr>
          <w:rFonts w:ascii="Arial" w:hAnsi="Arial" w:cs="Arial"/>
          <w:color w:val="1A1A1A"/>
        </w:rPr>
        <w:t>,</w:t>
      </w:r>
      <w:r>
        <w:rPr>
          <w:rFonts w:ascii="Arial" w:hAnsi="Arial" w:cs="Arial"/>
          <w:color w:val="1A1A1A"/>
        </w:rPr>
        <w:t xml:space="preserve"> Yolanda Díaz</w:t>
      </w:r>
      <w:r w:rsidR="00A22B25">
        <w:rPr>
          <w:rFonts w:ascii="Arial" w:hAnsi="Arial" w:cs="Arial"/>
          <w:color w:val="1A1A1A"/>
        </w:rPr>
        <w:t>,</w:t>
      </w:r>
      <w:r>
        <w:rPr>
          <w:rFonts w:ascii="Arial" w:hAnsi="Arial" w:cs="Arial"/>
          <w:color w:val="1A1A1A"/>
        </w:rPr>
        <w:t xml:space="preserve"> i l’alcaldessa de Barcelona, Ada Colau, ja van visitar la Ricarda el passat 9 de setembre. La carta d’invitació de Mijoler també s’ha adreçat als presidents del govern català i espanyol, Pere Aragonès i Pedro Sánchez, respectivament, així com a diverses conselleries de la Generalitat i ministeris de l’Estat, als representants d</w:t>
      </w:r>
      <w:r w:rsidR="00B80CFD">
        <w:rPr>
          <w:rFonts w:ascii="Arial" w:hAnsi="Arial" w:cs="Arial"/>
          <w:color w:val="1A1A1A"/>
        </w:rPr>
        <w:t>els diferents grups polítics representats al</w:t>
      </w:r>
      <w:r>
        <w:rPr>
          <w:rFonts w:ascii="Arial" w:hAnsi="Arial" w:cs="Arial"/>
          <w:color w:val="1A1A1A"/>
        </w:rPr>
        <w:t xml:space="preserve"> Parlame</w:t>
      </w:r>
      <w:r w:rsidR="00B80CFD">
        <w:rPr>
          <w:rFonts w:ascii="Arial" w:hAnsi="Arial" w:cs="Arial"/>
          <w:color w:val="1A1A1A"/>
        </w:rPr>
        <w:t>nt i a</w:t>
      </w:r>
      <w:r>
        <w:rPr>
          <w:rFonts w:ascii="Arial" w:hAnsi="Arial" w:cs="Arial"/>
          <w:color w:val="1A1A1A"/>
        </w:rPr>
        <w:t xml:space="preserve">l Congrés </w:t>
      </w:r>
      <w:r w:rsidR="00B80CFD">
        <w:rPr>
          <w:rFonts w:ascii="Arial" w:hAnsi="Arial" w:cs="Arial"/>
          <w:color w:val="1A1A1A"/>
        </w:rPr>
        <w:t>o</w:t>
      </w:r>
      <w:r>
        <w:rPr>
          <w:rFonts w:ascii="Arial" w:hAnsi="Arial" w:cs="Arial"/>
          <w:color w:val="1A1A1A"/>
        </w:rPr>
        <w:t xml:space="preserve"> als membres de les meses</w:t>
      </w:r>
      <w:r w:rsidR="00B80CFD">
        <w:rPr>
          <w:rFonts w:ascii="Arial" w:hAnsi="Arial" w:cs="Arial"/>
          <w:color w:val="1A1A1A"/>
        </w:rPr>
        <w:t xml:space="preserve"> de les dues cambres.</w:t>
      </w:r>
    </w:p>
    <w:p w:rsidR="00B80CFD" w:rsidRDefault="00B80CFD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80CFD" w:rsidRDefault="00B80CFD" w:rsidP="00B80CF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L’objectiu és donar a conèixer la Ricarda, entorn natural protegit per la </w:t>
      </w:r>
      <w:r w:rsidR="00CE3322">
        <w:rPr>
          <w:rFonts w:ascii="Arial" w:hAnsi="Arial" w:cs="Arial"/>
          <w:color w:val="1A1A1A"/>
        </w:rPr>
        <w:t xml:space="preserve">UE </w:t>
      </w:r>
      <w:r>
        <w:rPr>
          <w:rFonts w:ascii="Arial" w:hAnsi="Arial" w:cs="Arial"/>
          <w:color w:val="1A1A1A"/>
        </w:rPr>
        <w:t>i clau per al manteniment dels ecosistemes del conjunt dels espais naturals del delta del Llobregat. Tot i el recent anunci del govern espanyol de suspendre l’ampliació de l’aeroport que amenaçava aquest espai natural, l’Ajuntament del Prat considera necessari seguir exposa</w:t>
      </w:r>
      <w:r w:rsidR="007E3072">
        <w:rPr>
          <w:rFonts w:ascii="Arial" w:hAnsi="Arial" w:cs="Arial"/>
          <w:color w:val="1A1A1A"/>
        </w:rPr>
        <w:t>n</w:t>
      </w:r>
      <w:r>
        <w:rPr>
          <w:rFonts w:ascii="Arial" w:hAnsi="Arial" w:cs="Arial"/>
          <w:color w:val="1A1A1A"/>
        </w:rPr>
        <w:t xml:space="preserve">t la importància de preservar-lo, per evitar el risc que es recuperi el projecte d’allargament de la tercera pista que suposava la seva destrucció i per </w:t>
      </w:r>
      <w:r w:rsidR="007E3072">
        <w:rPr>
          <w:rFonts w:ascii="Arial" w:hAnsi="Arial" w:cs="Arial"/>
          <w:color w:val="1A1A1A"/>
        </w:rPr>
        <w:t>reclamar tant a la Generalitat com a l’Estat</w:t>
      </w:r>
      <w:r>
        <w:rPr>
          <w:rFonts w:ascii="Arial" w:hAnsi="Arial" w:cs="Arial"/>
          <w:color w:val="1A1A1A"/>
        </w:rPr>
        <w:t xml:space="preserve"> més i millor protecció pe</w:t>
      </w:r>
      <w:r w:rsidR="007E3072">
        <w:rPr>
          <w:rFonts w:ascii="Arial" w:hAnsi="Arial" w:cs="Arial"/>
          <w:color w:val="1A1A1A"/>
        </w:rPr>
        <w:t>r als espais naturals del del</w:t>
      </w:r>
      <w:r w:rsidR="00A22B25">
        <w:rPr>
          <w:rFonts w:ascii="Arial" w:hAnsi="Arial" w:cs="Arial"/>
          <w:color w:val="1A1A1A"/>
        </w:rPr>
        <w:t xml:space="preserve">ta, tal </w:t>
      </w:r>
      <w:r w:rsidR="007E3072">
        <w:rPr>
          <w:rFonts w:ascii="Arial" w:hAnsi="Arial" w:cs="Arial"/>
          <w:color w:val="1A1A1A"/>
        </w:rPr>
        <w:t>com reclama la Comissió Europea.</w:t>
      </w:r>
    </w:p>
    <w:p w:rsidR="00B80CFD" w:rsidRDefault="00B80CFD" w:rsidP="00B80CF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CE3322" w:rsidRDefault="00B80CFD" w:rsidP="00CE332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L’atenció als mitjans de comunicació es farà al </w:t>
      </w:r>
      <w:r w:rsidR="007E3072">
        <w:rPr>
          <w:rFonts w:ascii="Arial" w:hAnsi="Arial" w:cs="Arial"/>
          <w:color w:val="1A1A1A"/>
        </w:rPr>
        <w:t>Mirador de l’Illa a les 12.30 h. En primer lloc</w:t>
      </w:r>
      <w:r w:rsidR="00A22B25">
        <w:rPr>
          <w:rFonts w:ascii="Arial" w:hAnsi="Arial" w:cs="Arial"/>
          <w:color w:val="1A1A1A"/>
        </w:rPr>
        <w:t>,</w:t>
      </w:r>
      <w:r w:rsidR="007E3072">
        <w:rPr>
          <w:rFonts w:ascii="Arial" w:hAnsi="Arial" w:cs="Arial"/>
          <w:color w:val="1A1A1A"/>
        </w:rPr>
        <w:t xml:space="preserve"> es podran prendre imatges de recurs i després</w:t>
      </w:r>
      <w:r>
        <w:rPr>
          <w:rFonts w:ascii="Arial" w:hAnsi="Arial" w:cs="Arial"/>
          <w:color w:val="1A1A1A"/>
        </w:rPr>
        <w:t xml:space="preserve"> declaracions. </w:t>
      </w:r>
      <w:r w:rsidR="00CE3322">
        <w:rPr>
          <w:rFonts w:ascii="Arial" w:hAnsi="Arial" w:cs="Arial"/>
          <w:color w:val="1A1A1A"/>
        </w:rPr>
        <w:t xml:space="preserve">El punt de trobada serà </w:t>
      </w:r>
      <w:r w:rsidR="007E3072">
        <w:rPr>
          <w:rFonts w:ascii="Arial" w:hAnsi="Arial" w:cs="Arial"/>
          <w:color w:val="1A1A1A"/>
        </w:rPr>
        <w:t xml:space="preserve">la </w:t>
      </w:r>
      <w:hyperlink r:id="rId8" w:history="1">
        <w:r w:rsidR="007E3072" w:rsidRPr="00A22B25">
          <w:rPr>
            <w:rStyle w:val="Hipervnculo"/>
            <w:rFonts w:ascii="Arial" w:hAnsi="Arial" w:cs="Arial"/>
          </w:rPr>
          <w:t>Porta del Delta</w:t>
        </w:r>
      </w:hyperlink>
      <w:r w:rsidR="007E3072">
        <w:rPr>
          <w:rFonts w:ascii="Arial" w:hAnsi="Arial" w:cs="Arial"/>
          <w:color w:val="1A1A1A"/>
        </w:rPr>
        <w:t>, situada</w:t>
      </w:r>
      <w:r w:rsidR="00CE3322">
        <w:rPr>
          <w:rFonts w:ascii="Arial" w:hAnsi="Arial" w:cs="Arial"/>
          <w:color w:val="1A1A1A"/>
        </w:rPr>
        <w:t xml:space="preserve"> </w:t>
      </w:r>
      <w:r w:rsidR="007E3072">
        <w:rPr>
          <w:rFonts w:ascii="Arial" w:hAnsi="Arial" w:cs="Arial"/>
          <w:color w:val="1A1A1A"/>
        </w:rPr>
        <w:t xml:space="preserve">davant de la Pineda de </w:t>
      </w:r>
      <w:proofErr w:type="spellStart"/>
      <w:r w:rsidR="007E3072">
        <w:rPr>
          <w:rFonts w:ascii="Arial" w:hAnsi="Arial" w:cs="Arial"/>
          <w:color w:val="1A1A1A"/>
        </w:rPr>
        <w:t>Can</w:t>
      </w:r>
      <w:proofErr w:type="spellEnd"/>
      <w:r w:rsidR="007E3072">
        <w:rPr>
          <w:rFonts w:ascii="Arial" w:hAnsi="Arial" w:cs="Arial"/>
          <w:color w:val="1A1A1A"/>
        </w:rPr>
        <w:t xml:space="preserve"> Cami</w:t>
      </w:r>
      <w:r w:rsidR="008630E3">
        <w:rPr>
          <w:rFonts w:ascii="Arial" w:hAnsi="Arial" w:cs="Arial"/>
          <w:color w:val="1A1A1A"/>
        </w:rPr>
        <w:t>n</w:t>
      </w:r>
      <w:r w:rsidR="007E3072">
        <w:rPr>
          <w:rFonts w:ascii="Arial" w:hAnsi="Arial" w:cs="Arial"/>
          <w:color w:val="1A1A1A"/>
        </w:rPr>
        <w:t>s</w:t>
      </w:r>
      <w:r w:rsidR="00CE3322">
        <w:rPr>
          <w:rFonts w:ascii="Arial" w:hAnsi="Arial" w:cs="Arial"/>
          <w:color w:val="1A1A1A"/>
        </w:rPr>
        <w:t>.</w:t>
      </w:r>
    </w:p>
    <w:p w:rsidR="00CE3322" w:rsidRDefault="00CE3322" w:rsidP="00B80CF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Tr="00F77064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F77064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F77064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77064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FE744E" w:rsidP="00FE744E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Visita de la vicepresidenta del Parlament, Alba Vergés, a la Ricarda</w:t>
            </w:r>
          </w:p>
        </w:tc>
      </w:tr>
      <w:tr w:rsidR="00A35B2B" w:rsidTr="00F7706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77064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FE744E" w:rsidP="00FE744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Dijous 22 de setembre</w:t>
            </w:r>
          </w:p>
        </w:tc>
      </w:tr>
      <w:tr w:rsidR="00A35B2B" w:rsidTr="00F7706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77064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FE744E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  <w:r w:rsidR="00A35B2B">
              <w:rPr>
                <w:rFonts w:ascii="Arial" w:hAnsi="Arial" w:cs="Arial"/>
              </w:rPr>
              <w:t xml:space="preserve"> h </w:t>
            </w:r>
          </w:p>
        </w:tc>
      </w:tr>
      <w:tr w:rsidR="00A35B2B" w:rsidTr="00F7706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77064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77064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:rsidTr="00FE744E">
        <w:trPr>
          <w:trHeight w:val="82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F77064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FE744E" w:rsidP="007E307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Mirador de l’Illa</w:t>
            </w:r>
            <w:r w:rsidR="00CE3322">
              <w:rPr>
                <w:rFonts w:ascii="Arial" w:hAnsi="Arial" w:cs="Arial"/>
              </w:rPr>
              <w:t xml:space="preserve">. Punt de Trobada: </w:t>
            </w:r>
            <w:hyperlink r:id="rId9" w:history="1">
              <w:r w:rsidR="007E3072" w:rsidRPr="00A22B25">
                <w:rPr>
                  <w:rStyle w:val="Hipervnculo"/>
                  <w:rFonts w:ascii="Arial" w:hAnsi="Arial" w:cs="Arial"/>
                </w:rPr>
                <w:t>Porta del Delta</w:t>
              </w:r>
            </w:hyperlink>
            <w:r w:rsidR="007E3072">
              <w:rPr>
                <w:rFonts w:ascii="Arial" w:hAnsi="Arial" w:cs="Arial"/>
              </w:rPr>
              <w:t>.</w:t>
            </w:r>
          </w:p>
        </w:tc>
      </w:tr>
      <w:tr w:rsidR="00A35B2B" w:rsidTr="00F7706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E744E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77064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F7706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77064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F77064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54E" w:rsidRDefault="000A754E" w:rsidP="00750EC7">
      <w:r>
        <w:separator/>
      </w:r>
    </w:p>
  </w:endnote>
  <w:endnote w:type="continuationSeparator" w:id="0">
    <w:p w:rsidR="000A754E" w:rsidRDefault="000A754E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54E" w:rsidRDefault="000A754E" w:rsidP="00750EC7">
      <w:r>
        <w:separator/>
      </w:r>
    </w:p>
  </w:footnote>
  <w:footnote w:type="continuationSeparator" w:id="0">
    <w:p w:rsidR="000A754E" w:rsidRDefault="000A754E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4E" w:rsidRDefault="00FE744E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744E" w:rsidRDefault="00FE744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A754E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A53CB"/>
    <w:rsid w:val="001B692C"/>
    <w:rsid w:val="001F20A9"/>
    <w:rsid w:val="00203C08"/>
    <w:rsid w:val="0022495B"/>
    <w:rsid w:val="002261D6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7565F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429E8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E3072"/>
    <w:rsid w:val="007F0DD7"/>
    <w:rsid w:val="00814EB6"/>
    <w:rsid w:val="0082076A"/>
    <w:rsid w:val="008213FA"/>
    <w:rsid w:val="0085092D"/>
    <w:rsid w:val="00851BA5"/>
    <w:rsid w:val="008630E3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2B25"/>
    <w:rsid w:val="00A2734D"/>
    <w:rsid w:val="00A3083D"/>
    <w:rsid w:val="00A34A6F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0CFD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3322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4456F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77064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  <w:rsid w:val="00FE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2261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5gJmCES7P2yegFTC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o.gl/maps/5gJmCES7P2yegFTC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82889-36CB-4B95-A75D-CADAA3F9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2455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2021-09-22T12:21:00Z</cp:lastPrinted>
  <dcterms:created xsi:type="dcterms:W3CDTF">2021-09-22T08:56:00Z</dcterms:created>
  <dcterms:modified xsi:type="dcterms:W3CDTF">2021-09-22T12:22:00Z</dcterms:modified>
</cp:coreProperties>
</file>